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ascii="Times New Roman" w:hAnsi="Times New Roman" w:eastAsia="微软雅黑" w:cs="方正仿宋_GBK"/>
          <w:b/>
          <w:bCs/>
          <w:color w:val="000000"/>
          <w:sz w:val="44"/>
          <w:szCs w:val="44"/>
          <w:shd w:val="clear" w:color="auto" w:fill="FFFFFF"/>
        </w:rPr>
      </w:pPr>
      <w:r>
        <w:rPr>
          <w:rFonts w:hint="eastAsia" w:ascii="华文中宋" w:hAnsi="华文中宋" w:eastAsia="华文中宋" w:cs="华文中宋"/>
          <w:b/>
          <w:sz w:val="28"/>
          <w:szCs w:val="28"/>
        </w:rPr>
        <w:t xml:space="preserve">                          </w:t>
      </w:r>
      <w:bookmarkStart w:id="0" w:name="_Toc24857"/>
      <w:r>
        <w:rPr>
          <w:rFonts w:hint="eastAsia" w:ascii="Times New Roman" w:hAnsi="Times New Roman" w:eastAsia="微软雅黑" w:cs="方正仿宋_GBK"/>
          <w:b/>
          <w:bCs/>
          <w:color w:val="000000"/>
          <w:sz w:val="44"/>
          <w:szCs w:val="44"/>
          <w:shd w:val="clear" w:color="auto" w:fill="FFFFFF"/>
        </w:rPr>
        <w:t xml:space="preserve"> </w:t>
      </w:r>
      <w:bookmarkEnd w:id="0"/>
    </w:p>
    <w:p>
      <w:pPr>
        <w:spacing w:line="800" w:lineRule="exact"/>
        <w:jc w:val="center"/>
        <w:outlineLvl w:val="0"/>
        <w:rPr>
          <w:rFonts w:hint="eastAsia" w:ascii="Times New Roman" w:hAnsi="Times New Roman" w:eastAsia="微软雅黑" w:cs="方正仿宋_GBK"/>
          <w:b/>
          <w:bCs/>
          <w:color w:val="000000"/>
          <w:sz w:val="44"/>
          <w:szCs w:val="44"/>
          <w:shd w:val="clear" w:color="auto" w:fill="FFFFFF"/>
          <w:lang w:val="en-US" w:eastAsia="zh-CN"/>
        </w:rPr>
      </w:pPr>
      <w:r>
        <w:rPr>
          <w:rFonts w:hint="eastAsia" w:ascii="Times New Roman" w:hAnsi="Times New Roman" w:eastAsia="微软雅黑" w:cs="方正仿宋_GBK"/>
          <w:b/>
          <w:bCs/>
          <w:color w:val="000000"/>
          <w:sz w:val="44"/>
          <w:szCs w:val="44"/>
          <w:shd w:val="clear" w:color="auto" w:fill="FFFFFF"/>
          <w:lang w:val="en-US" w:eastAsia="zh-CN"/>
        </w:rPr>
        <w:t>汉源县妇幼保健计划生育服务中心</w:t>
      </w:r>
    </w:p>
    <w:p>
      <w:pPr>
        <w:spacing w:line="800" w:lineRule="exact"/>
        <w:jc w:val="center"/>
        <w:outlineLvl w:val="0"/>
        <w:rPr>
          <w:rFonts w:hint="eastAsia" w:ascii="华文中宋" w:hAnsi="华文中宋" w:eastAsia="华文中宋" w:cs="华文中宋"/>
          <w:b/>
          <w:bCs/>
          <w:spacing w:val="78"/>
          <w:sz w:val="44"/>
          <w:szCs w:val="44"/>
          <w:lang w:eastAsia="zh-CN"/>
        </w:rPr>
      </w:pPr>
      <w:r>
        <w:rPr>
          <w:rFonts w:hint="eastAsia" w:ascii="Times New Roman" w:hAnsi="Times New Roman" w:eastAsia="微软雅黑" w:cs="方正仿宋_GBK"/>
          <w:b/>
          <w:bCs/>
          <w:color w:val="000000"/>
          <w:sz w:val="44"/>
          <w:szCs w:val="44"/>
          <w:shd w:val="clear" w:color="auto" w:fill="FFFFFF"/>
          <w:lang w:val="en-US" w:eastAsia="zh-CN"/>
        </w:rPr>
        <w:t>托育服务中心师资力量采购</w:t>
      </w:r>
      <w:r>
        <w:rPr>
          <w:rFonts w:hint="eastAsia" w:ascii="Times New Roman" w:hAnsi="Times New Roman" w:eastAsia="微软雅黑" w:cs="方正仿宋_GBK"/>
          <w:b/>
          <w:bCs/>
          <w:color w:val="000000"/>
          <w:sz w:val="44"/>
          <w:szCs w:val="44"/>
          <w:shd w:val="clear" w:color="auto" w:fill="FFFFFF"/>
          <w:lang w:eastAsia="zh-CN"/>
        </w:rPr>
        <w:t>项目</w:t>
      </w:r>
    </w:p>
    <w:p>
      <w:pPr>
        <w:pStyle w:val="32"/>
        <w:numPr>
          <w:ilvl w:val="4"/>
          <w:numId w:val="0"/>
        </w:numPr>
      </w:pPr>
    </w:p>
    <w:p>
      <w:pPr>
        <w:pStyle w:val="33"/>
      </w:pPr>
    </w:p>
    <w:p>
      <w:pPr>
        <w:spacing w:line="360" w:lineRule="auto"/>
        <w:jc w:val="center"/>
        <w:outlineLvl w:val="0"/>
        <w:rPr>
          <w:rFonts w:ascii="华文中宋" w:hAnsi="华文中宋" w:eastAsia="华文中宋"/>
          <w:bCs/>
          <w:sz w:val="96"/>
          <w:szCs w:val="96"/>
        </w:rPr>
      </w:pPr>
      <w:bookmarkStart w:id="1" w:name="_Toc16371"/>
      <w:bookmarkStart w:id="2" w:name="_Toc26876"/>
      <w:r>
        <w:rPr>
          <w:rFonts w:hint="eastAsia" w:ascii="华文中宋" w:hAnsi="华文中宋" w:eastAsia="华文中宋"/>
          <w:bCs/>
          <w:sz w:val="96"/>
          <w:szCs w:val="96"/>
        </w:rPr>
        <w:t>比</w:t>
      </w:r>
      <w:bookmarkEnd w:id="1"/>
      <w:bookmarkEnd w:id="2"/>
    </w:p>
    <w:p>
      <w:pPr>
        <w:spacing w:line="360" w:lineRule="auto"/>
        <w:jc w:val="center"/>
        <w:outlineLvl w:val="0"/>
        <w:rPr>
          <w:rFonts w:ascii="华文中宋" w:hAnsi="华文中宋" w:eastAsia="华文中宋"/>
          <w:bCs/>
          <w:sz w:val="96"/>
          <w:szCs w:val="96"/>
        </w:rPr>
      </w:pPr>
      <w:bookmarkStart w:id="3" w:name="_Toc31601"/>
      <w:bookmarkStart w:id="4" w:name="_Toc31218"/>
      <w:r>
        <w:rPr>
          <w:rFonts w:hint="eastAsia" w:ascii="华文中宋" w:hAnsi="华文中宋" w:eastAsia="华文中宋"/>
          <w:bCs/>
          <w:sz w:val="96"/>
          <w:szCs w:val="96"/>
        </w:rPr>
        <w:t>选</w:t>
      </w:r>
      <w:bookmarkEnd w:id="3"/>
      <w:bookmarkEnd w:id="4"/>
    </w:p>
    <w:p>
      <w:pPr>
        <w:spacing w:line="360" w:lineRule="auto"/>
        <w:jc w:val="center"/>
        <w:outlineLvl w:val="0"/>
        <w:rPr>
          <w:rFonts w:ascii="华文中宋" w:hAnsi="华文中宋" w:eastAsia="华文中宋"/>
          <w:bCs/>
          <w:sz w:val="96"/>
          <w:szCs w:val="96"/>
        </w:rPr>
      </w:pPr>
      <w:bookmarkStart w:id="5" w:name="_Toc32547"/>
      <w:bookmarkStart w:id="6" w:name="_Toc32557"/>
      <w:r>
        <w:rPr>
          <w:rFonts w:hint="eastAsia" w:ascii="华文中宋" w:hAnsi="华文中宋" w:eastAsia="华文中宋"/>
          <w:bCs/>
          <w:sz w:val="96"/>
          <w:szCs w:val="96"/>
        </w:rPr>
        <w:t>文</w:t>
      </w:r>
      <w:bookmarkEnd w:id="5"/>
      <w:bookmarkEnd w:id="6"/>
    </w:p>
    <w:p>
      <w:pPr>
        <w:spacing w:line="360" w:lineRule="auto"/>
        <w:jc w:val="center"/>
        <w:outlineLvl w:val="0"/>
        <w:rPr>
          <w:rFonts w:ascii="华文中宋" w:hAnsi="华文中宋" w:eastAsia="华文中宋"/>
          <w:bCs/>
          <w:sz w:val="96"/>
          <w:szCs w:val="96"/>
        </w:rPr>
      </w:pPr>
      <w:bookmarkStart w:id="7" w:name="_Toc21125"/>
      <w:bookmarkStart w:id="8" w:name="_Toc22156"/>
      <w:r>
        <w:rPr>
          <w:rFonts w:hint="eastAsia" w:ascii="华文中宋" w:hAnsi="华文中宋" w:eastAsia="华文中宋"/>
          <w:bCs/>
          <w:sz w:val="96"/>
          <w:szCs w:val="96"/>
        </w:rPr>
        <w:t>件</w:t>
      </w:r>
      <w:bookmarkEnd w:id="7"/>
      <w:bookmarkEnd w:id="8"/>
    </w:p>
    <w:p>
      <w:pPr>
        <w:jc w:val="left"/>
        <w:rPr>
          <w:rFonts w:ascii="华文中宋" w:hAnsi="华文中宋" w:eastAsia="华文中宋"/>
          <w:b/>
          <w:spacing w:val="40"/>
          <w:sz w:val="48"/>
          <w:szCs w:val="48"/>
        </w:rPr>
      </w:pPr>
    </w:p>
    <w:p>
      <w:pPr>
        <w:pStyle w:val="30"/>
      </w:pPr>
    </w:p>
    <w:p>
      <w:pPr>
        <w:spacing w:line="800" w:lineRule="exact"/>
        <w:jc w:val="center"/>
        <w:outlineLvl w:val="0"/>
        <w:rPr>
          <w:rFonts w:hint="eastAsia" w:ascii="Times New Roman" w:hAnsi="Times New Roman" w:eastAsia="微软雅黑" w:cs="方正仿宋_GBK"/>
          <w:b/>
          <w:bCs/>
          <w:color w:val="000000"/>
          <w:sz w:val="44"/>
          <w:szCs w:val="44"/>
          <w:shd w:val="clear" w:color="auto" w:fill="FFFFFF"/>
          <w:lang w:val="en-US" w:eastAsia="zh-CN"/>
        </w:rPr>
      </w:pPr>
      <w:r>
        <w:rPr>
          <w:rFonts w:hint="eastAsia" w:ascii="Times New Roman" w:hAnsi="Times New Roman" w:eastAsia="微软雅黑" w:cs="方正仿宋_GBK"/>
          <w:b/>
          <w:bCs/>
          <w:color w:val="000000"/>
          <w:sz w:val="44"/>
          <w:szCs w:val="44"/>
          <w:shd w:val="clear" w:color="auto" w:fill="FFFFFF"/>
          <w:lang w:val="en-US" w:eastAsia="zh-CN"/>
        </w:rPr>
        <w:t>汉源县妇幼保健计划生育服务中心</w:t>
      </w:r>
    </w:p>
    <w:p>
      <w:pPr>
        <w:spacing w:line="240" w:lineRule="atLeas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二〇</w:t>
      </w:r>
      <w:r>
        <w:rPr>
          <w:rFonts w:hint="eastAsia" w:ascii="华文中宋" w:hAnsi="华文中宋" w:eastAsia="华文中宋" w:cs="华文中宋"/>
          <w:b/>
          <w:sz w:val="36"/>
          <w:szCs w:val="36"/>
          <w:lang w:eastAsia="zh-CN"/>
        </w:rPr>
        <w:t>五</w:t>
      </w:r>
      <w:r>
        <w:rPr>
          <w:rFonts w:hint="eastAsia" w:ascii="华文中宋" w:hAnsi="华文中宋" w:eastAsia="华文中宋" w:cs="华文中宋"/>
          <w:b/>
          <w:sz w:val="36"/>
          <w:szCs w:val="36"/>
        </w:rPr>
        <w:t>年</w:t>
      </w:r>
      <w:r>
        <w:rPr>
          <w:rFonts w:hint="eastAsia" w:ascii="华文中宋" w:hAnsi="华文中宋" w:eastAsia="华文中宋" w:cs="华文中宋"/>
          <w:b/>
          <w:sz w:val="36"/>
          <w:szCs w:val="36"/>
          <w:lang w:eastAsia="zh-CN"/>
        </w:rPr>
        <w:t>二</w:t>
      </w:r>
      <w:r>
        <w:rPr>
          <w:rFonts w:hint="eastAsia" w:ascii="华文中宋" w:hAnsi="华文中宋" w:eastAsia="华文中宋" w:cs="华文中宋"/>
          <w:b/>
          <w:sz w:val="36"/>
          <w:szCs w:val="36"/>
        </w:rPr>
        <w:t>月</w:t>
      </w:r>
    </w:p>
    <w:p>
      <w:pPr>
        <w:jc w:val="center"/>
        <w:rPr>
          <w:rFonts w:ascii="宋体" w:hAnsi="宋体"/>
          <w:b/>
          <w:szCs w:val="21"/>
        </w:rPr>
      </w:pPr>
    </w:p>
    <w:p>
      <w:pPr>
        <w:rPr>
          <w:rFonts w:ascii="楷体" w:hAnsi="楷体" w:eastAsia="楷体" w:cs="楷体"/>
          <w:b/>
          <w:bCs/>
          <w:sz w:val="52"/>
          <w:szCs w:val="52"/>
        </w:rPr>
      </w:pPr>
      <w:r>
        <w:rPr>
          <w:rFonts w:hint="eastAsia" w:ascii="楷体" w:hAnsi="楷体" w:eastAsia="楷体" w:cs="楷体"/>
          <w:b/>
          <w:bCs/>
          <w:sz w:val="52"/>
          <w:szCs w:val="52"/>
        </w:rPr>
        <w:br w:type="page"/>
      </w:r>
    </w:p>
    <w:p>
      <w:pPr>
        <w:pStyle w:val="18"/>
        <w:rPr>
          <w:u w:val="single"/>
        </w:rPr>
      </w:pPr>
      <w:r>
        <w:rPr>
          <w:rFonts w:hint="eastAsia" w:ascii="楷体" w:hAnsi="楷体" w:eastAsia="楷体" w:cs="楷体"/>
          <w:b/>
          <w:bCs/>
          <w:sz w:val="52"/>
          <w:szCs w:val="52"/>
        </w:rPr>
        <w:t>目 录</w:t>
      </w:r>
      <w:r>
        <w:rPr>
          <w:rStyle w:val="28"/>
          <w:rFonts w:hint="eastAsia"/>
          <w:color w:val="auto"/>
        </w:rPr>
        <w:fldChar w:fldCharType="begin"/>
      </w:r>
      <w:r>
        <w:rPr>
          <w:rStyle w:val="28"/>
          <w:rFonts w:hint="eastAsia"/>
          <w:color w:val="auto"/>
        </w:rPr>
        <w:instrText xml:space="preserve"> TOC \o "1-5" \h \z \u </w:instrText>
      </w:r>
      <w:r>
        <w:rPr>
          <w:rStyle w:val="28"/>
          <w:rFonts w:hint="eastAsia"/>
          <w:color w:val="auto"/>
        </w:rPr>
        <w:fldChar w:fldCharType="separate"/>
      </w:r>
    </w:p>
    <w:p>
      <w:pPr>
        <w:pStyle w:val="18"/>
        <w:tabs>
          <w:tab w:val="right" w:leader="dot" w:pos="8306"/>
          <w:tab w:val="clear" w:pos="8680"/>
        </w:tabs>
      </w:pPr>
    </w:p>
    <w:p>
      <w:pPr>
        <w:pStyle w:val="18"/>
        <w:tabs>
          <w:tab w:val="right" w:leader="dot" w:pos="8306"/>
          <w:tab w:val="clear" w:pos="8680"/>
        </w:tabs>
        <w:rPr>
          <w:rFonts w:ascii="宋体" w:hAnsi="宋体" w:cs="宋体"/>
          <w:sz w:val="32"/>
          <w:szCs w:val="32"/>
        </w:rPr>
      </w:pPr>
      <w:r>
        <w:fldChar w:fldCharType="begin"/>
      </w:r>
      <w:r>
        <w:instrText xml:space="preserve"> HYPERLINK \l "_Toc1189" </w:instrText>
      </w:r>
      <w:r>
        <w:fldChar w:fldCharType="separate"/>
      </w:r>
      <w:r>
        <w:rPr>
          <w:rFonts w:hint="eastAsia" w:ascii="宋体" w:hAnsi="宋体" w:cs="宋体"/>
          <w:sz w:val="32"/>
          <w:szCs w:val="32"/>
        </w:rPr>
        <w:t>第一章  比选邀请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_Toc1189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"_Toc20914" </w:instrText>
      </w:r>
      <w:r>
        <w:fldChar w:fldCharType="separate"/>
      </w:r>
      <w:r>
        <w:rPr>
          <w:rFonts w:hint="eastAsia" w:ascii="宋体" w:hAnsi="宋体" w:cs="宋体"/>
          <w:sz w:val="32"/>
          <w:szCs w:val="32"/>
        </w:rPr>
        <w:t>第二章  比选申请人须知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_Toc20914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"_Toc27269"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_Toc27269 \h </w:instrText>
      </w:r>
      <w:r>
        <w:rPr>
          <w:rFonts w:hint="eastAsia" w:ascii="宋体" w:hAnsi="宋体" w:cs="宋体"/>
          <w:sz w:val="32"/>
          <w:szCs w:val="32"/>
        </w:rPr>
        <w:fldChar w:fldCharType="separate"/>
      </w:r>
      <w:r>
        <w:rPr>
          <w:rFonts w:hint="eastAsia"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"_Toc30814" </w:instrText>
      </w:r>
      <w:r>
        <w:fldChar w:fldCharType="separate"/>
      </w:r>
      <w:r>
        <w:rPr>
          <w:rFonts w:hint="eastAsia" w:ascii="宋体" w:hAnsi="宋体" w:cs="宋体"/>
          <w:sz w:val="32"/>
          <w:szCs w:val="32"/>
        </w:rPr>
        <w:t>第四章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_Toc30814 \h </w:instrText>
      </w:r>
      <w:r>
        <w:rPr>
          <w:rFonts w:hint="eastAsia" w:ascii="宋体" w:hAnsi="宋体" w:cs="宋体"/>
          <w:sz w:val="32"/>
          <w:szCs w:val="32"/>
        </w:rPr>
        <w:fldChar w:fldCharType="separate"/>
      </w:r>
      <w:r>
        <w:rPr>
          <w:rFonts w:hint="eastAsia" w:ascii="宋体" w:hAnsi="宋体" w:cs="宋体"/>
          <w:sz w:val="32"/>
          <w:szCs w:val="32"/>
        </w:rPr>
        <w:t>15</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rPr>
          <w:rFonts w:ascii="宋体" w:hAnsi="宋体" w:cs="宋体"/>
          <w:sz w:val="32"/>
          <w:szCs w:val="32"/>
        </w:rPr>
      </w:pPr>
      <w:r>
        <w:fldChar w:fldCharType="begin"/>
      </w:r>
      <w:r>
        <w:instrText xml:space="preserve"> HYPERLINK \l "_Toc23032" </w:instrText>
      </w:r>
      <w:r>
        <w:fldChar w:fldCharType="separate"/>
      </w:r>
      <w:r>
        <w:rPr>
          <w:rFonts w:hint="eastAsia" w:ascii="宋体" w:hAnsi="宋体" w:cs="宋体"/>
          <w:sz w:val="32"/>
          <w:szCs w:val="32"/>
        </w:rPr>
        <w:t>第五章  评审方法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_Toc23032 \h </w:instrText>
      </w:r>
      <w:r>
        <w:rPr>
          <w:rFonts w:hint="eastAsia" w:ascii="宋体" w:hAnsi="宋体" w:cs="宋体"/>
          <w:sz w:val="32"/>
          <w:szCs w:val="32"/>
        </w:rPr>
        <w:fldChar w:fldCharType="separate"/>
      </w:r>
      <w:r>
        <w:rPr>
          <w:rFonts w:hint="eastAsia" w:ascii="宋体" w:hAnsi="宋体" w:cs="宋体"/>
          <w:sz w:val="32"/>
          <w:szCs w:val="32"/>
        </w:rPr>
        <w:t>31</w:t>
      </w:r>
      <w:r>
        <w:rPr>
          <w:rFonts w:hint="eastAsia" w:ascii="宋体" w:hAnsi="宋体" w:cs="宋体"/>
          <w:sz w:val="32"/>
          <w:szCs w:val="32"/>
        </w:rPr>
        <w:fldChar w:fldCharType="end"/>
      </w:r>
      <w:r>
        <w:rPr>
          <w:rFonts w:hint="eastAsia" w:ascii="宋体" w:hAnsi="宋体" w:cs="宋体"/>
          <w:sz w:val="32"/>
          <w:szCs w:val="32"/>
        </w:rPr>
        <w:fldChar w:fldCharType="end"/>
      </w:r>
    </w:p>
    <w:p>
      <w:pPr>
        <w:pStyle w:val="18"/>
        <w:tabs>
          <w:tab w:val="right" w:leader="dot" w:pos="8306"/>
          <w:tab w:val="clear" w:pos="8680"/>
        </w:tabs>
      </w:pPr>
      <w:r>
        <w:fldChar w:fldCharType="begin"/>
      </w:r>
      <w:r>
        <w:instrText xml:space="preserve"> HYPERLINK \l "_Toc2510" </w:instrText>
      </w:r>
      <w:r>
        <w:fldChar w:fldCharType="separate"/>
      </w:r>
      <w:r>
        <w:rPr>
          <w:rFonts w:hint="eastAsia" w:ascii="宋体" w:hAnsi="宋体" w:cs="宋体"/>
          <w:sz w:val="32"/>
          <w:szCs w:val="32"/>
        </w:rPr>
        <w:t xml:space="preserve">第六章 </w:t>
      </w:r>
      <w:r>
        <w:rPr>
          <w:rFonts w:hint="eastAsia" w:ascii="宋体" w:hAnsi="宋体" w:cs="宋体"/>
          <w:sz w:val="32"/>
          <w:szCs w:val="32"/>
          <w:lang w:val="en-US" w:eastAsia="zh-CN"/>
        </w:rPr>
        <w:t xml:space="preserve"> </w:t>
      </w:r>
      <w:r>
        <w:rPr>
          <w:rFonts w:hint="eastAsia" w:ascii="宋体" w:hAnsi="宋体" w:cs="宋体"/>
          <w:sz w:val="32"/>
          <w:szCs w:val="32"/>
        </w:rPr>
        <w:t>附 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_Toc2510 \h </w:instrText>
      </w:r>
      <w:r>
        <w:rPr>
          <w:rFonts w:hint="eastAsia" w:ascii="宋体" w:hAnsi="宋体" w:cs="宋体"/>
          <w:sz w:val="32"/>
          <w:szCs w:val="32"/>
        </w:rPr>
        <w:fldChar w:fldCharType="separate"/>
      </w:r>
      <w:r>
        <w:rPr>
          <w:rFonts w:hint="eastAsia" w:ascii="宋体" w:hAnsi="宋体" w:cs="宋体"/>
          <w:sz w:val="32"/>
          <w:szCs w:val="32"/>
        </w:rPr>
        <w:t>37</w:t>
      </w:r>
      <w:r>
        <w:rPr>
          <w:rFonts w:hint="eastAsia" w:ascii="宋体" w:hAnsi="宋体" w:cs="宋体"/>
          <w:sz w:val="32"/>
          <w:szCs w:val="32"/>
        </w:rPr>
        <w:fldChar w:fldCharType="end"/>
      </w:r>
      <w:r>
        <w:rPr>
          <w:rFonts w:hint="eastAsia" w:ascii="宋体" w:hAnsi="宋体" w:cs="宋体"/>
          <w:sz w:val="32"/>
          <w:szCs w:val="32"/>
        </w:rPr>
        <w:fldChar w:fldCharType="end"/>
      </w:r>
    </w:p>
    <w:p>
      <w:pPr>
        <w:pStyle w:val="20"/>
        <w:tabs>
          <w:tab w:val="right" w:leader="dot" w:pos="8306"/>
        </w:tabs>
      </w:pPr>
    </w:p>
    <w:p>
      <w:pPr>
        <w:pStyle w:val="18"/>
        <w:rPr>
          <w:rFonts w:ascii="宋体" w:hAnsi="宋体"/>
          <w:sz w:val="24"/>
          <w:szCs w:val="24"/>
        </w:rPr>
      </w:pPr>
      <w:r>
        <w:rPr>
          <w:rStyle w:val="28"/>
          <w:rFonts w:hint="eastAsia"/>
          <w:color w:val="auto"/>
        </w:rPr>
        <w:fldChar w:fldCharType="end"/>
      </w:r>
    </w:p>
    <w:p>
      <w:pPr>
        <w:pStyle w:val="2"/>
        <w:snapToGrid w:val="0"/>
        <w:spacing w:line="240" w:lineRule="auto"/>
        <w:jc w:val="center"/>
        <w:rPr>
          <w:rFonts w:ascii="华文中宋" w:hAnsi="华文中宋" w:eastAsia="华文中宋"/>
        </w:rPr>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pPr>
    </w:p>
    <w:p>
      <w:pPr>
        <w:pStyle w:val="2"/>
        <w:pageBreakBefore w:val="0"/>
        <w:widowControl w:val="0"/>
        <w:kinsoku/>
        <w:wordWrap/>
        <w:overflowPunct/>
        <w:topLinePunct w:val="0"/>
        <w:autoSpaceDE/>
        <w:autoSpaceDN/>
        <w:bidi w:val="0"/>
        <w:adjustRightInd/>
        <w:snapToGrid w:val="0"/>
        <w:spacing w:line="560" w:lineRule="exact"/>
        <w:jc w:val="center"/>
        <w:textAlignment w:val="auto"/>
        <w:rPr>
          <w:rFonts w:ascii="华文中宋" w:hAnsi="华文中宋" w:eastAsia="华文中宋"/>
        </w:rPr>
      </w:pPr>
      <w:bookmarkStart w:id="9" w:name="_Toc1189"/>
      <w:r>
        <w:rPr>
          <w:rFonts w:hint="eastAsia" w:ascii="华文中宋" w:hAnsi="华文中宋" w:eastAsia="华文中宋"/>
        </w:rPr>
        <w:t>第一章  比选邀请</w:t>
      </w:r>
      <w:bookmarkEnd w:id="9"/>
    </w:p>
    <w:p>
      <w:pPr>
        <w:pageBreakBefore w:val="0"/>
        <w:widowControl w:val="0"/>
        <w:kinsoku/>
        <w:wordWrap/>
        <w:overflowPunct/>
        <w:topLinePunct w:val="0"/>
        <w:autoSpaceDE/>
        <w:autoSpaceDN/>
        <w:bidi w:val="0"/>
        <w:adjustRightInd/>
        <w:spacing w:line="560" w:lineRule="exact"/>
        <w:ind w:firstLine="570"/>
        <w:textAlignment w:val="auto"/>
        <w:rPr>
          <w:rFonts w:ascii="仿宋" w:hAnsi="仿宋" w:eastAsia="仿宋" w:cs="仿宋"/>
          <w:sz w:val="28"/>
        </w:rPr>
      </w:pPr>
      <w:r>
        <w:rPr>
          <w:rFonts w:hint="eastAsia" w:ascii="仿宋" w:hAnsi="仿宋" w:eastAsia="仿宋" w:cs="仿宋"/>
          <w:sz w:val="28"/>
          <w:lang w:val="en-US" w:eastAsia="zh-CN"/>
        </w:rPr>
        <w:t>汉源县妇幼保健计划生育服务中心</w:t>
      </w:r>
      <w:r>
        <w:rPr>
          <w:rFonts w:hint="eastAsia" w:ascii="仿宋" w:hAnsi="仿宋" w:eastAsia="仿宋" w:cs="仿宋"/>
          <w:sz w:val="28"/>
        </w:rPr>
        <w:t>拟对</w:t>
      </w:r>
      <w:r>
        <w:rPr>
          <w:rFonts w:hint="eastAsia" w:ascii="仿宋" w:hAnsi="仿宋" w:eastAsia="仿宋" w:cs="仿宋"/>
          <w:sz w:val="28"/>
          <w:u w:val="single"/>
          <w:lang w:eastAsia="zh-CN"/>
        </w:rPr>
        <w:t>汉源县</w:t>
      </w:r>
      <w:r>
        <w:rPr>
          <w:rFonts w:hint="eastAsia" w:ascii="仿宋" w:hAnsi="仿宋" w:eastAsia="仿宋" w:cs="仿宋"/>
          <w:sz w:val="28"/>
          <w:u w:val="single"/>
          <w:lang w:val="en-US" w:eastAsia="zh-CN"/>
        </w:rPr>
        <w:t>妇幼保健计划生育服务中心托育服务中心师资力量采购</w:t>
      </w:r>
      <w:r>
        <w:rPr>
          <w:rFonts w:hint="eastAsia" w:ascii="仿宋" w:hAnsi="仿宋" w:eastAsia="仿宋" w:cs="仿宋"/>
          <w:sz w:val="28"/>
          <w:u w:val="single"/>
          <w:lang w:eastAsia="zh-CN"/>
        </w:rPr>
        <w:t>项目</w:t>
      </w:r>
      <w:r>
        <w:rPr>
          <w:rFonts w:hint="eastAsia" w:ascii="仿宋" w:hAnsi="仿宋" w:eastAsia="仿宋" w:cs="仿宋"/>
          <w:sz w:val="28"/>
        </w:rPr>
        <w:t>择优选择1家服务企业。欢迎符合条件的潜在供应商参与本项目比选。</w:t>
      </w:r>
    </w:p>
    <w:p>
      <w:pPr>
        <w:pageBreakBefore w:val="0"/>
        <w:widowControl w:val="0"/>
        <w:numPr>
          <w:ilvl w:val="0"/>
          <w:numId w:val="2"/>
        </w:numPr>
        <w:kinsoku/>
        <w:wordWrap/>
        <w:overflowPunct/>
        <w:topLinePunct w:val="0"/>
        <w:autoSpaceDE/>
        <w:autoSpaceDN/>
        <w:bidi w:val="0"/>
        <w:adjustRightInd/>
        <w:spacing w:line="560" w:lineRule="exact"/>
        <w:ind w:left="1906" w:hanging="1906" w:hangingChars="678"/>
        <w:textAlignment w:val="auto"/>
        <w:outlineLvl w:val="1"/>
        <w:rPr>
          <w:rFonts w:ascii="仿宋" w:hAnsi="仿宋" w:eastAsia="仿宋" w:cs="仿宋"/>
          <w:bCs/>
          <w:sz w:val="28"/>
          <w:szCs w:val="28"/>
        </w:rPr>
      </w:pPr>
      <w:bookmarkStart w:id="10" w:name="_Toc31987"/>
      <w:bookmarkStart w:id="11" w:name="_Toc467940122"/>
      <w:bookmarkStart w:id="12" w:name="_Toc27124"/>
      <w:bookmarkStart w:id="13" w:name="_Toc16176"/>
      <w:r>
        <w:rPr>
          <w:rFonts w:hint="eastAsia" w:ascii="仿宋" w:hAnsi="仿宋" w:eastAsia="仿宋" w:cs="仿宋"/>
          <w:b/>
          <w:sz w:val="28"/>
          <w:szCs w:val="28"/>
        </w:rPr>
        <w:t>项目名称：</w:t>
      </w:r>
      <w:bookmarkEnd w:id="10"/>
      <w:bookmarkEnd w:id="11"/>
      <w:bookmarkEnd w:id="12"/>
      <w:bookmarkEnd w:id="13"/>
      <w:bookmarkStart w:id="14" w:name="_Toc467940123"/>
      <w:r>
        <w:rPr>
          <w:rFonts w:hint="eastAsia" w:ascii="仿宋" w:hAnsi="仿宋" w:eastAsia="仿宋" w:cs="仿宋"/>
          <w:bCs/>
          <w:sz w:val="28"/>
          <w:szCs w:val="28"/>
          <w:lang w:eastAsia="zh-CN"/>
        </w:rPr>
        <w:t>汉源县</w:t>
      </w:r>
      <w:r>
        <w:rPr>
          <w:rFonts w:hint="eastAsia" w:ascii="仿宋" w:hAnsi="仿宋" w:eastAsia="仿宋" w:cs="仿宋"/>
          <w:sz w:val="28"/>
          <w:u w:val="none"/>
          <w:lang w:val="en-US" w:eastAsia="zh-CN"/>
        </w:rPr>
        <w:t>妇幼保健计划生育服务中心托育服务中心师资力量</w:t>
      </w:r>
      <w:r>
        <w:rPr>
          <w:rFonts w:hint="eastAsia" w:ascii="仿宋" w:hAnsi="仿宋" w:eastAsia="仿宋" w:cs="仿宋"/>
          <w:bCs/>
          <w:sz w:val="28"/>
          <w:szCs w:val="28"/>
          <w:lang w:eastAsia="zh-CN"/>
        </w:rPr>
        <w:t>采购项目</w:t>
      </w:r>
    </w:p>
    <w:p>
      <w:pPr>
        <w:pageBreakBefore w:val="0"/>
        <w:widowControl w:val="0"/>
        <w:numPr>
          <w:ilvl w:val="0"/>
          <w:numId w:val="2"/>
        </w:numPr>
        <w:kinsoku/>
        <w:wordWrap/>
        <w:overflowPunct/>
        <w:topLinePunct w:val="0"/>
        <w:autoSpaceDE/>
        <w:autoSpaceDN/>
        <w:bidi w:val="0"/>
        <w:adjustRightInd/>
        <w:spacing w:line="560" w:lineRule="exact"/>
        <w:ind w:left="1906" w:hanging="1906" w:hangingChars="678"/>
        <w:textAlignment w:val="auto"/>
        <w:outlineLvl w:val="1"/>
        <w:rPr>
          <w:rFonts w:ascii="仿宋" w:hAnsi="仿宋" w:eastAsia="仿宋" w:cs="仿宋"/>
          <w:b/>
          <w:sz w:val="28"/>
        </w:rPr>
      </w:pPr>
      <w:bookmarkStart w:id="15" w:name="_Toc31631"/>
      <w:bookmarkStart w:id="16" w:name="_Toc3095"/>
      <w:bookmarkStart w:id="17" w:name="_Toc2842"/>
      <w:r>
        <w:rPr>
          <w:rFonts w:hint="eastAsia" w:ascii="仿宋" w:hAnsi="仿宋" w:eastAsia="仿宋" w:cs="仿宋"/>
          <w:b/>
          <w:sz w:val="28"/>
        </w:rPr>
        <w:t>项目概况：</w:t>
      </w:r>
      <w:bookmarkEnd w:id="14"/>
      <w:bookmarkEnd w:id="15"/>
      <w:bookmarkEnd w:id="16"/>
      <w:bookmarkEnd w:id="17"/>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rPr>
      </w:pPr>
      <w:r>
        <w:rPr>
          <w:rFonts w:hint="eastAsia" w:ascii="仿宋" w:hAnsi="仿宋" w:eastAsia="仿宋" w:cs="仿宋"/>
          <w:sz w:val="28"/>
        </w:rPr>
        <w:t>1、本项目共计1个</w:t>
      </w:r>
      <w:r>
        <w:rPr>
          <w:rFonts w:hint="eastAsia" w:ascii="仿宋" w:hAnsi="仿宋" w:eastAsia="仿宋" w:cs="仿宋"/>
          <w:color w:val="auto"/>
          <w:sz w:val="28"/>
        </w:rPr>
        <w:t>包，预算金额为人民币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rPr>
        <w:t>元。</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sz w:val="28"/>
        </w:rPr>
      </w:pPr>
      <w:r>
        <w:rPr>
          <w:rFonts w:hint="eastAsia" w:ascii="仿宋" w:hAnsi="仿宋" w:eastAsia="仿宋" w:cs="仿宋"/>
          <w:sz w:val="28"/>
        </w:rPr>
        <w:t>2、资金来源：财政性资金，已落实。</w:t>
      </w:r>
    </w:p>
    <w:p>
      <w:pPr>
        <w:pStyle w:val="30"/>
        <w:pageBreakBefore w:val="0"/>
        <w:widowControl w:val="0"/>
        <w:kinsoku/>
        <w:wordWrap/>
        <w:overflowPunct/>
        <w:topLinePunct w:val="0"/>
        <w:autoSpaceDE/>
        <w:autoSpaceDN/>
        <w:bidi w:val="0"/>
        <w:adjustRightInd/>
        <w:spacing w:line="560" w:lineRule="exact"/>
        <w:ind w:firstLine="560" w:firstLineChars="200"/>
        <w:textAlignment w:val="auto"/>
      </w:pPr>
      <w:r>
        <w:rPr>
          <w:rFonts w:hint="eastAsia" w:ascii="仿宋" w:hAnsi="仿宋" w:eastAsia="仿宋" w:cs="仿宋"/>
          <w:sz w:val="28"/>
        </w:rPr>
        <w:t>3、本项目比选邀请将在</w:t>
      </w:r>
      <w:r>
        <w:rPr>
          <w:rFonts w:hint="eastAsia" w:ascii="仿宋" w:hAnsi="仿宋" w:eastAsia="仿宋" w:cs="仿宋"/>
          <w:i/>
          <w:iCs/>
          <w:color w:val="FF0000"/>
          <w:sz w:val="28"/>
          <w:u w:val="single"/>
        </w:rPr>
        <w:t xml:space="preserve"> </w:t>
      </w:r>
      <w:r>
        <w:rPr>
          <w:rFonts w:hint="eastAsia" w:ascii="仿宋" w:hAnsi="仿宋" w:eastAsia="仿宋" w:cs="仿宋"/>
          <w:sz w:val="28"/>
          <w:u w:val="single"/>
          <w:lang w:eastAsia="zh-CN"/>
        </w:rPr>
        <w:t>汉源县</w:t>
      </w:r>
      <w:r>
        <w:rPr>
          <w:rFonts w:hint="eastAsia" w:ascii="仿宋" w:hAnsi="仿宋" w:eastAsia="仿宋" w:cs="仿宋"/>
          <w:sz w:val="28"/>
          <w:u w:val="single"/>
          <w:lang w:val="en-US" w:eastAsia="zh-CN"/>
        </w:rPr>
        <w:t>人民医院官网，（网址https://www.scsyashyxrmyy.cn/</w:t>
      </w:r>
      <w:bookmarkStart w:id="178" w:name="_GoBack"/>
      <w:r>
        <w:rPr>
          <w:rFonts w:hint="eastAsia" w:ascii="仿宋" w:hAnsi="仿宋" w:eastAsia="仿宋" w:cs="仿宋"/>
          <w:sz w:val="28"/>
          <w:u w:val="single"/>
          <w:lang w:val="en-US" w:eastAsia="zh-CN"/>
        </w:rPr>
        <w:t>）</w:t>
      </w:r>
      <w:bookmarkEnd w:id="178"/>
      <w:r>
        <w:rPr>
          <w:rFonts w:hint="eastAsia" w:ascii="仿宋" w:hAnsi="仿宋" w:eastAsia="仿宋" w:cs="仿宋"/>
          <w:i/>
          <w:iCs/>
          <w:color w:val="FF0000"/>
          <w:sz w:val="28"/>
          <w:u w:val="single"/>
        </w:rPr>
        <w:t xml:space="preserve"> </w:t>
      </w:r>
      <w:r>
        <w:rPr>
          <w:rFonts w:hint="eastAsia" w:ascii="仿宋" w:hAnsi="仿宋" w:eastAsia="仿宋" w:cs="仿宋"/>
          <w:sz w:val="28"/>
        </w:rPr>
        <w:t>以公告的形式发布。</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rPr>
      </w:pPr>
      <w:bookmarkStart w:id="18" w:name="_Toc1376"/>
      <w:bookmarkStart w:id="19" w:name="_Toc24915"/>
      <w:r>
        <w:rPr>
          <w:rFonts w:hint="eastAsia" w:ascii="仿宋" w:hAnsi="仿宋" w:eastAsia="仿宋" w:cs="仿宋"/>
          <w:b/>
          <w:sz w:val="28"/>
        </w:rPr>
        <w:t>四、比选申请人资格要求：</w:t>
      </w:r>
      <w:bookmarkEnd w:id="18"/>
      <w:bookmarkEnd w:id="19"/>
    </w:p>
    <w:p>
      <w:pPr>
        <w:pStyle w:val="8"/>
        <w:pageBreakBefore w:val="0"/>
        <w:widowControl w:val="0"/>
        <w:kinsoku/>
        <w:wordWrap/>
        <w:overflowPunct/>
        <w:topLinePunct w:val="0"/>
        <w:autoSpaceDE/>
        <w:autoSpaceDN/>
        <w:bidi w:val="0"/>
        <w:adjustRightInd/>
        <w:spacing w:after="0" w:line="560" w:lineRule="exact"/>
        <w:ind w:firstLine="560" w:firstLineChars="200"/>
        <w:textAlignment w:val="auto"/>
        <w:rPr>
          <w:rFonts w:ascii="仿宋" w:hAnsi="仿宋" w:eastAsia="仿宋" w:cs="仿宋"/>
          <w:sz w:val="28"/>
        </w:rPr>
      </w:pPr>
      <w:r>
        <w:rPr>
          <w:rFonts w:hint="eastAsia" w:ascii="仿宋" w:hAnsi="仿宋" w:eastAsia="仿宋" w:cs="仿宋"/>
          <w:sz w:val="28"/>
        </w:rPr>
        <w:t>1、具有独立承担民事责任的能力；</w:t>
      </w:r>
    </w:p>
    <w:p>
      <w:pPr>
        <w:pStyle w:val="8"/>
        <w:pageBreakBefore w:val="0"/>
        <w:widowControl w:val="0"/>
        <w:kinsoku/>
        <w:wordWrap/>
        <w:overflowPunct/>
        <w:topLinePunct w:val="0"/>
        <w:autoSpaceDE/>
        <w:autoSpaceDN/>
        <w:bidi w:val="0"/>
        <w:adjustRightInd/>
        <w:spacing w:after="0" w:line="560" w:lineRule="exact"/>
        <w:ind w:firstLine="560" w:firstLineChars="200"/>
        <w:textAlignment w:val="auto"/>
        <w:rPr>
          <w:rFonts w:ascii="仿宋" w:hAnsi="仿宋" w:eastAsia="仿宋" w:cs="仿宋"/>
          <w:sz w:val="28"/>
        </w:rPr>
      </w:pPr>
      <w:r>
        <w:rPr>
          <w:rFonts w:hint="eastAsia" w:ascii="仿宋" w:hAnsi="仿宋" w:eastAsia="仿宋" w:cs="仿宋"/>
          <w:sz w:val="28"/>
          <w:lang w:val="en-US" w:eastAsia="zh-CN"/>
        </w:rPr>
        <w:t>2</w:t>
      </w:r>
      <w:r>
        <w:rPr>
          <w:rFonts w:hint="eastAsia" w:ascii="仿宋" w:hAnsi="仿宋" w:eastAsia="仿宋" w:cs="仿宋"/>
          <w:sz w:val="28"/>
        </w:rPr>
        <w:t>、具有履行合同所必需的设备和专业技术能力；</w:t>
      </w:r>
    </w:p>
    <w:p>
      <w:pPr>
        <w:pStyle w:val="8"/>
        <w:pageBreakBefore w:val="0"/>
        <w:widowControl w:val="0"/>
        <w:kinsoku/>
        <w:wordWrap/>
        <w:overflowPunct/>
        <w:topLinePunct w:val="0"/>
        <w:autoSpaceDE/>
        <w:autoSpaceDN/>
        <w:bidi w:val="0"/>
        <w:adjustRightInd/>
        <w:spacing w:after="0" w:line="560" w:lineRule="exact"/>
        <w:ind w:firstLine="560" w:firstLineChars="200"/>
        <w:textAlignment w:val="auto"/>
        <w:rPr>
          <w:rFonts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、参加政府采购活动前三年内，在经营活动中没有重大违法记录；</w:t>
      </w:r>
    </w:p>
    <w:p>
      <w:pPr>
        <w:pStyle w:val="8"/>
        <w:pageBreakBefore w:val="0"/>
        <w:widowControl w:val="0"/>
        <w:kinsoku/>
        <w:wordWrap/>
        <w:overflowPunct/>
        <w:topLinePunct w:val="0"/>
        <w:autoSpaceDE/>
        <w:autoSpaceDN/>
        <w:bidi w:val="0"/>
        <w:adjustRightInd/>
        <w:spacing w:after="0" w:line="560" w:lineRule="exact"/>
        <w:ind w:firstLine="560" w:firstLineChars="200"/>
        <w:textAlignment w:val="auto"/>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、法律、行政法规规定的其他条件；</w:t>
      </w:r>
    </w:p>
    <w:p>
      <w:pPr>
        <w:pageBreakBefore w:val="0"/>
        <w:widowControl w:val="0"/>
        <w:kinsoku/>
        <w:wordWrap/>
        <w:overflowPunct/>
        <w:topLinePunct w:val="0"/>
        <w:autoSpaceDE/>
        <w:autoSpaceDN/>
        <w:bidi w:val="0"/>
        <w:adjustRightInd/>
        <w:spacing w:line="560" w:lineRule="exact"/>
        <w:ind w:firstLine="570"/>
        <w:textAlignment w:val="auto"/>
        <w:rPr>
          <w:rFonts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、根据采购项目提出的特定条件：</w:t>
      </w:r>
      <w:r>
        <w:rPr>
          <w:rFonts w:hint="eastAsia" w:ascii="仿宋" w:hAnsi="仿宋" w:eastAsia="仿宋" w:cs="仿宋"/>
          <w:sz w:val="28"/>
          <w:highlight w:val="none"/>
        </w:rPr>
        <w:t>无</w:t>
      </w:r>
      <w:r>
        <w:rPr>
          <w:rFonts w:hint="eastAsia" w:ascii="仿宋" w:hAnsi="仿宋" w:eastAsia="仿宋" w:cs="仿宋"/>
          <w:sz w:val="28"/>
        </w:rPr>
        <w:t>；</w:t>
      </w:r>
    </w:p>
    <w:p>
      <w:pPr>
        <w:pageBreakBefore w:val="0"/>
        <w:widowControl w:val="0"/>
        <w:tabs>
          <w:tab w:val="left" w:pos="7665"/>
        </w:tabs>
        <w:kinsoku/>
        <w:wordWrap/>
        <w:overflowPunct/>
        <w:topLinePunct w:val="0"/>
        <w:autoSpaceDE/>
        <w:autoSpaceDN/>
        <w:bidi w:val="0"/>
        <w:adjustRightInd/>
        <w:spacing w:line="560" w:lineRule="exact"/>
        <w:ind w:firstLine="560" w:firstLineChars="200"/>
        <w:textAlignment w:val="auto"/>
        <w:rPr>
          <w:rFonts w:ascii="仿宋" w:hAnsi="仿宋" w:eastAsia="仿宋" w:cs="仿宋"/>
          <w:sz w:val="28"/>
        </w:rPr>
      </w:pPr>
      <w:r>
        <w:rPr>
          <w:rFonts w:hint="eastAsia" w:ascii="仿宋" w:hAnsi="仿宋" w:eastAsia="仿宋" w:cs="仿宋"/>
          <w:sz w:val="28"/>
          <w:lang w:val="en-US" w:eastAsia="zh-CN"/>
        </w:rPr>
        <w:t>6</w:t>
      </w:r>
      <w:r>
        <w:rPr>
          <w:rFonts w:hint="eastAsia" w:ascii="仿宋" w:hAnsi="仿宋" w:eastAsia="仿宋" w:cs="仿宋"/>
          <w:sz w:val="28"/>
        </w:rPr>
        <w:t>、落实政府采购政策提出的要求：本项目非专门面向中小企业。</w:t>
      </w:r>
    </w:p>
    <w:p>
      <w:pPr>
        <w:pageBreakBefore w:val="0"/>
        <w:widowControl w:val="0"/>
        <w:tabs>
          <w:tab w:val="left" w:pos="7665"/>
        </w:tabs>
        <w:kinsoku/>
        <w:wordWrap/>
        <w:overflowPunct/>
        <w:topLinePunct w:val="0"/>
        <w:autoSpaceDE/>
        <w:autoSpaceDN/>
        <w:bidi w:val="0"/>
        <w:adjustRightInd/>
        <w:spacing w:line="560" w:lineRule="exact"/>
        <w:ind w:firstLine="560" w:firstLineChars="200"/>
        <w:textAlignment w:val="auto"/>
        <w:rPr>
          <w:rFonts w:hint="default" w:ascii="仿宋" w:hAnsi="仿宋" w:eastAsia="仿宋" w:cs="仿宋"/>
          <w:sz w:val="28"/>
          <w:lang w:val="en-US" w:eastAsia="zh-CN"/>
        </w:rPr>
      </w:pPr>
      <w:bookmarkStart w:id="20" w:name="_Toc26652"/>
      <w:bookmarkStart w:id="21" w:name="_Toc13038"/>
      <w:r>
        <w:rPr>
          <w:rFonts w:hint="eastAsia" w:ascii="仿宋" w:hAnsi="仿宋" w:eastAsia="仿宋" w:cs="仿宋"/>
          <w:sz w:val="28"/>
          <w:lang w:val="en-US" w:eastAsia="zh-CN"/>
        </w:rPr>
        <w:t>7、特殊资格要求：取得托育机构营业执照</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szCs w:val="28"/>
        </w:rPr>
      </w:pPr>
      <w:r>
        <w:rPr>
          <w:rFonts w:hint="eastAsia" w:ascii="仿宋" w:hAnsi="仿宋" w:eastAsia="仿宋" w:cs="仿宋"/>
          <w:b/>
          <w:sz w:val="28"/>
          <w:szCs w:val="28"/>
        </w:rPr>
        <w:t>五、比选基本要求</w:t>
      </w:r>
      <w:bookmarkEnd w:id="20"/>
      <w:bookmarkEnd w:id="21"/>
    </w:p>
    <w:p>
      <w:pPr>
        <w:pageBreakBefore w:val="0"/>
        <w:widowControl w:val="0"/>
        <w:kinsoku/>
        <w:wordWrap/>
        <w:overflowPunct/>
        <w:topLinePunct w:val="0"/>
        <w:autoSpaceDE/>
        <w:autoSpaceDN/>
        <w:bidi w:val="0"/>
        <w:adjustRightInd/>
        <w:spacing w:line="560" w:lineRule="exact"/>
        <w:ind w:firstLine="560"/>
        <w:textAlignment w:val="auto"/>
        <w:rPr>
          <w:rFonts w:ascii="仿宋" w:hAnsi="仿宋" w:eastAsia="仿宋" w:cs="仿宋"/>
          <w:sz w:val="28"/>
        </w:rPr>
      </w:pPr>
      <w:r>
        <w:rPr>
          <w:rFonts w:hint="eastAsia" w:ascii="仿宋" w:hAnsi="仿宋" w:eastAsia="仿宋" w:cs="仿宋"/>
          <w:sz w:val="28"/>
        </w:rPr>
        <w:t>所有参加比选的潜在供应商应编制“响应文件”。响应文件用汉语言文字编制（字体不限），一套正本，</w:t>
      </w:r>
      <w:r>
        <w:rPr>
          <w:rFonts w:hint="eastAsia" w:ascii="仿宋" w:hAnsi="仿宋" w:eastAsia="仿宋" w:cs="仿宋"/>
          <w:sz w:val="28"/>
          <w:highlight w:val="none"/>
        </w:rPr>
        <w:t>两</w:t>
      </w:r>
      <w:r>
        <w:rPr>
          <w:rFonts w:hint="eastAsia" w:ascii="仿宋" w:hAnsi="仿宋" w:eastAsia="仿宋" w:cs="仿宋"/>
          <w:sz w:val="28"/>
        </w:rPr>
        <w:t>套副本。</w:t>
      </w:r>
    </w:p>
    <w:p>
      <w:pPr>
        <w:pageBreakBefore w:val="0"/>
        <w:widowControl w:val="0"/>
        <w:kinsoku/>
        <w:wordWrap/>
        <w:overflowPunct/>
        <w:topLinePunct w:val="0"/>
        <w:autoSpaceDE/>
        <w:autoSpaceDN/>
        <w:bidi w:val="0"/>
        <w:adjustRightInd/>
        <w:spacing w:line="560" w:lineRule="exact"/>
        <w:textAlignment w:val="auto"/>
        <w:outlineLvl w:val="1"/>
        <w:rPr>
          <w:rFonts w:ascii="仿宋" w:hAnsi="仿宋" w:eastAsia="仿宋" w:cs="仿宋"/>
          <w:b/>
          <w:sz w:val="28"/>
          <w:szCs w:val="28"/>
        </w:rPr>
      </w:pPr>
      <w:bookmarkStart w:id="22" w:name="_Toc26062"/>
      <w:bookmarkStart w:id="23" w:name="_Toc20503"/>
      <w:r>
        <w:rPr>
          <w:rFonts w:hint="eastAsia" w:ascii="仿宋" w:hAnsi="仿宋" w:eastAsia="仿宋" w:cs="仿宋"/>
          <w:b/>
          <w:sz w:val="28"/>
          <w:szCs w:val="28"/>
        </w:rPr>
        <w:t>六、报名及领取比选文件的时间及方式</w:t>
      </w:r>
      <w:bookmarkEnd w:id="22"/>
      <w:bookmarkEnd w:id="23"/>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1、时间：202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比选文件获取</w:t>
      </w:r>
      <w:r>
        <w:rPr>
          <w:rFonts w:hint="eastAsia" w:ascii="仿宋" w:hAnsi="仿宋" w:eastAsia="仿宋" w:cs="仿宋"/>
          <w:color w:val="auto"/>
          <w:sz w:val="28"/>
          <w:szCs w:val="28"/>
        </w:rPr>
        <w:t>方式（比选</w:t>
      </w:r>
      <w:r>
        <w:rPr>
          <w:rStyle w:val="28"/>
          <w:rFonts w:hint="eastAsia" w:ascii="仿宋" w:hAnsi="仿宋" w:eastAsia="仿宋" w:cs="仿宋"/>
          <w:color w:val="auto"/>
          <w:sz w:val="28"/>
          <w:szCs w:val="28"/>
          <w:u w:val="none"/>
        </w:rPr>
        <w:t>文件获取时间期限内</w:t>
      </w:r>
      <w:r>
        <w:rPr>
          <w:rFonts w:hint="eastAsia" w:ascii="仿宋" w:hAnsi="仿宋" w:eastAsia="仿宋" w:cs="仿宋"/>
          <w:color w:val="auto"/>
          <w:sz w:val="28"/>
          <w:szCs w:val="28"/>
        </w:rPr>
        <w:t>）：</w:t>
      </w:r>
    </w:p>
    <w:p>
      <w:pPr>
        <w:pageBreakBefore w:val="0"/>
        <w:widowControl w:val="0"/>
        <w:kinsoku/>
        <w:wordWrap/>
        <w:overflowPunct/>
        <w:topLinePunct w:val="0"/>
        <w:autoSpaceDE/>
        <w:autoSpaceDN/>
        <w:bidi w:val="0"/>
        <w:adjustRightInd/>
        <w:spacing w:line="560" w:lineRule="exact"/>
        <w:ind w:firstLine="840" w:firstLineChars="3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汉源县妇幼保健计划生育服务中心四楼办公室（请自行携带U盘）。</w:t>
      </w:r>
    </w:p>
    <w:p>
      <w:pPr>
        <w:pageBreakBefore w:val="0"/>
        <w:widowControl w:val="0"/>
        <w:kinsoku/>
        <w:wordWrap/>
        <w:overflowPunct/>
        <w:topLinePunct w:val="0"/>
        <w:autoSpaceDE/>
        <w:autoSpaceDN/>
        <w:bidi w:val="0"/>
        <w:adjustRightInd/>
        <w:spacing w:line="5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获取比选文件时，提交以下资料：</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供应商需提供</w:t>
      </w:r>
      <w:r>
        <w:rPr>
          <w:rFonts w:hint="eastAsia" w:ascii="仿宋" w:hAnsi="仿宋" w:eastAsia="仿宋" w:cs="仿宋"/>
          <w:b/>
          <w:bCs/>
          <w:color w:val="000000" w:themeColor="text1"/>
          <w:sz w:val="28"/>
          <w:szCs w:val="28"/>
          <w14:textFill>
            <w14:solidFill>
              <w14:schemeClr w14:val="tx1"/>
            </w14:solidFill>
          </w14:textFill>
        </w:rPr>
        <w:t>单位介绍信</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经办人身份证明</w:t>
      </w:r>
      <w:r>
        <w:rPr>
          <w:rFonts w:hint="eastAsia" w:ascii="仿宋" w:hAnsi="仿宋" w:eastAsia="仿宋" w:cs="仿宋"/>
          <w:color w:val="000000" w:themeColor="text1"/>
          <w:sz w:val="28"/>
          <w:szCs w:val="28"/>
          <w14:textFill>
            <w14:solidFill>
              <w14:schemeClr w14:val="tx1"/>
            </w14:solidFill>
          </w14:textFill>
        </w:rPr>
        <w:t>及</w:t>
      </w:r>
      <w:r>
        <w:rPr>
          <w:rFonts w:hint="eastAsia" w:ascii="仿宋" w:hAnsi="仿宋" w:eastAsia="仿宋" w:cs="仿宋"/>
          <w:b/>
          <w:bCs/>
          <w:color w:val="000000" w:themeColor="text1"/>
          <w:sz w:val="28"/>
          <w:szCs w:val="28"/>
          <w14:textFill>
            <w14:solidFill>
              <w14:schemeClr w14:val="tx1"/>
            </w14:solidFill>
          </w14:textFill>
        </w:rPr>
        <w:t>营业执照（加盖公司鲜章）</w:t>
      </w:r>
      <w:r>
        <w:rPr>
          <w:rFonts w:hint="eastAsia" w:ascii="仿宋" w:hAnsi="仿宋" w:eastAsia="仿宋" w:cs="仿宋"/>
          <w:color w:val="000000" w:themeColor="text1"/>
          <w:sz w:val="28"/>
          <w:szCs w:val="28"/>
          <w14:textFill>
            <w14:solidFill>
              <w14:schemeClr w14:val="tx1"/>
            </w14:solidFill>
          </w14:textFill>
        </w:rPr>
        <w:t>；并将相应材料给比选代理机构留存。</w:t>
      </w:r>
    </w:p>
    <w:p>
      <w:pPr>
        <w:pageBreakBefore w:val="0"/>
        <w:widowControl w:val="0"/>
        <w:kinsoku/>
        <w:wordWrap/>
        <w:overflowPunct/>
        <w:topLinePunct w:val="0"/>
        <w:autoSpaceDE/>
        <w:autoSpaceDN/>
        <w:bidi w:val="0"/>
        <w:adjustRightInd/>
        <w:spacing w:line="560" w:lineRule="exact"/>
        <w:ind w:firstLine="562"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介绍信内容应清晰备注</w:t>
      </w:r>
      <w:r>
        <w:rPr>
          <w:rFonts w:hint="eastAsia" w:ascii="仿宋" w:hAnsi="仿宋" w:eastAsia="仿宋" w:cs="仿宋"/>
          <w:color w:val="000000" w:themeColor="text1"/>
          <w:sz w:val="28"/>
          <w:szCs w:val="28"/>
          <w:lang w:eastAsia="zh-CN"/>
          <w14:textFill>
            <w14:solidFill>
              <w14:schemeClr w14:val="tx1"/>
            </w14:solidFill>
          </w14:textFill>
        </w:rPr>
        <w:t>领取</w:t>
      </w:r>
      <w:r>
        <w:rPr>
          <w:rFonts w:hint="eastAsia" w:ascii="仿宋" w:hAnsi="仿宋" w:eastAsia="仿宋" w:cs="仿宋"/>
          <w:color w:val="000000" w:themeColor="text1"/>
          <w:sz w:val="28"/>
          <w:szCs w:val="28"/>
          <w14:textFill>
            <w14:solidFill>
              <w14:schemeClr w14:val="tx1"/>
            </w14:solidFill>
          </w14:textFill>
        </w:rPr>
        <w:t>项目名称、单位联系方式（包括联系人姓名、手机号、电子邮箱），因以上信息填写不完整或错误而造成的所有后果由比选申请人自行承担。</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color w:val="000000" w:themeColor="text1"/>
          <w:sz w:val="28"/>
          <w:szCs w:val="28"/>
          <w14:textFill>
            <w14:solidFill>
              <w14:schemeClr w14:val="tx1"/>
            </w14:solidFill>
          </w14:textFill>
        </w:rPr>
      </w:pPr>
      <w:bookmarkStart w:id="24" w:name="_Toc19781"/>
      <w:bookmarkStart w:id="25" w:name="_Toc30966"/>
      <w:r>
        <w:rPr>
          <w:rFonts w:hint="eastAsia" w:ascii="仿宋" w:hAnsi="仿宋" w:eastAsia="仿宋" w:cs="仿宋"/>
          <w:b/>
          <w:color w:val="000000" w:themeColor="text1"/>
          <w:sz w:val="28"/>
          <w:szCs w:val="28"/>
          <w14:textFill>
            <w14:solidFill>
              <w14:schemeClr w14:val="tx1"/>
            </w14:solidFill>
          </w14:textFill>
        </w:rPr>
        <w:t>七、递交响应文件截止时间：</w:t>
      </w:r>
      <w:bookmarkEnd w:id="24"/>
      <w:bookmarkEnd w:id="25"/>
    </w:p>
    <w:p>
      <w:pPr>
        <w:pageBreakBefore w:val="0"/>
        <w:widowControl w:val="0"/>
        <w:kinsoku/>
        <w:wordWrap/>
        <w:overflowPunct/>
        <w:topLinePunct w:val="0"/>
        <w:autoSpaceDE/>
        <w:autoSpaceDN/>
        <w:bidi w:val="0"/>
        <w:adjustRightInd/>
        <w:spacing w:line="560" w:lineRule="exact"/>
        <w:ind w:firstLine="560"/>
        <w:textAlignment w:val="auto"/>
        <w:rPr>
          <w:rFonts w:ascii="仿宋" w:hAnsi="仿宋" w:eastAsia="仿宋" w:cs="仿宋"/>
          <w:bCs/>
          <w:color w:val="000000" w:themeColor="text1"/>
          <w:sz w:val="28"/>
          <w:highlight w:val="none"/>
          <w14:textFill>
            <w14:solidFill>
              <w14:schemeClr w14:val="tx1"/>
            </w14:solidFill>
          </w14:textFill>
        </w:rPr>
      </w:pPr>
      <w:r>
        <w:rPr>
          <w:rFonts w:hint="eastAsia" w:ascii="仿宋" w:hAnsi="仿宋" w:eastAsia="仿宋" w:cs="仿宋"/>
          <w:bCs/>
          <w:color w:val="000000" w:themeColor="text1"/>
          <w:sz w:val="28"/>
          <w14:textFill>
            <w14:solidFill>
              <w14:schemeClr w14:val="tx1"/>
            </w14:solidFill>
          </w14:textFill>
        </w:rPr>
        <w:t>递交响应文件时间为</w:t>
      </w:r>
      <w:r>
        <w:rPr>
          <w:rFonts w:hint="eastAsia" w:ascii="仿宋" w:hAnsi="仿宋" w:eastAsia="仿宋" w:cs="仿宋"/>
          <w:bCs/>
          <w:color w:val="000000" w:themeColor="text1"/>
          <w:sz w:val="28"/>
          <w:highlight w:val="none"/>
          <w14:textFill>
            <w14:solidFill>
              <w14:schemeClr w14:val="tx1"/>
            </w14:solidFill>
          </w14:textFill>
        </w:rPr>
        <w:t>：202</w:t>
      </w:r>
      <w:r>
        <w:rPr>
          <w:rFonts w:hint="eastAsia" w:ascii="仿宋" w:hAnsi="仿宋" w:eastAsia="仿宋" w:cs="仿宋"/>
          <w:bCs/>
          <w:color w:val="000000" w:themeColor="text1"/>
          <w:sz w:val="28"/>
          <w:highlight w:val="none"/>
          <w:lang w:val="en-US" w:eastAsia="zh-CN"/>
          <w14:textFill>
            <w14:solidFill>
              <w14:schemeClr w14:val="tx1"/>
            </w14:solidFill>
          </w14:textFill>
        </w:rPr>
        <w:t>5</w:t>
      </w:r>
      <w:r>
        <w:rPr>
          <w:rFonts w:hint="eastAsia" w:ascii="仿宋" w:hAnsi="仿宋" w:eastAsia="仿宋" w:cs="仿宋"/>
          <w:bCs/>
          <w:color w:val="000000" w:themeColor="text1"/>
          <w:sz w:val="28"/>
          <w:highlight w:val="none"/>
          <w14:textFill>
            <w14:solidFill>
              <w14:schemeClr w14:val="tx1"/>
            </w14:solidFill>
          </w14:textFill>
        </w:rPr>
        <w:t>年</w:t>
      </w:r>
      <w:r>
        <w:rPr>
          <w:rFonts w:hint="eastAsia" w:ascii="仿宋" w:hAnsi="仿宋" w:eastAsia="仿宋" w:cs="仿宋"/>
          <w:bCs/>
          <w:color w:val="000000" w:themeColor="text1"/>
          <w:sz w:val="28"/>
          <w:highlight w:val="none"/>
          <w:lang w:val="en-US" w:eastAsia="zh-CN"/>
          <w14:textFill>
            <w14:solidFill>
              <w14:schemeClr w14:val="tx1"/>
            </w14:solidFill>
          </w14:textFill>
        </w:rPr>
        <w:t>2</w:t>
      </w:r>
      <w:r>
        <w:rPr>
          <w:rFonts w:hint="eastAsia" w:ascii="仿宋" w:hAnsi="仿宋" w:eastAsia="仿宋" w:cs="仿宋"/>
          <w:bCs/>
          <w:color w:val="000000" w:themeColor="text1"/>
          <w:sz w:val="28"/>
          <w:highlight w:val="none"/>
          <w14:textFill>
            <w14:solidFill>
              <w14:schemeClr w14:val="tx1"/>
            </w14:solidFill>
          </w14:textFill>
        </w:rPr>
        <w:t>月</w:t>
      </w:r>
      <w:r>
        <w:rPr>
          <w:rFonts w:hint="eastAsia" w:ascii="仿宋" w:hAnsi="仿宋" w:eastAsia="仿宋" w:cs="仿宋"/>
          <w:bCs/>
          <w:color w:val="000000" w:themeColor="text1"/>
          <w:sz w:val="28"/>
          <w:highlight w:val="none"/>
          <w:lang w:val="en-US" w:eastAsia="zh-CN"/>
          <w14:textFill>
            <w14:solidFill>
              <w14:schemeClr w14:val="tx1"/>
            </w14:solidFill>
          </w14:textFill>
        </w:rPr>
        <w:t>17</w:t>
      </w:r>
      <w:r>
        <w:rPr>
          <w:rFonts w:hint="eastAsia" w:ascii="仿宋" w:hAnsi="仿宋" w:eastAsia="仿宋" w:cs="仿宋"/>
          <w:bCs/>
          <w:color w:val="000000" w:themeColor="text1"/>
          <w:sz w:val="28"/>
          <w:highlight w:val="none"/>
          <w14:textFill>
            <w14:solidFill>
              <w14:schemeClr w14:val="tx1"/>
            </w14:solidFill>
          </w14:textFill>
        </w:rPr>
        <w:t>日1</w:t>
      </w:r>
      <w:r>
        <w:rPr>
          <w:rFonts w:hint="eastAsia" w:ascii="仿宋" w:hAnsi="仿宋" w:eastAsia="仿宋" w:cs="仿宋"/>
          <w:bCs/>
          <w:color w:val="000000" w:themeColor="text1"/>
          <w:sz w:val="28"/>
          <w:highlight w:val="none"/>
          <w:lang w:val="en-US" w:eastAsia="zh-CN"/>
          <w14:textFill>
            <w14:solidFill>
              <w14:schemeClr w14:val="tx1"/>
            </w14:solidFill>
          </w14:textFill>
        </w:rPr>
        <w:t>4</w:t>
      </w:r>
      <w:r>
        <w:rPr>
          <w:rFonts w:hint="eastAsia" w:ascii="仿宋" w:hAnsi="仿宋" w:eastAsia="仿宋" w:cs="仿宋"/>
          <w:bCs/>
          <w:color w:val="000000" w:themeColor="text1"/>
          <w:sz w:val="28"/>
          <w:highlight w:val="none"/>
          <w14:textFill>
            <w14:solidFill>
              <w14:schemeClr w14:val="tx1"/>
            </w14:solidFill>
          </w14:textFill>
        </w:rPr>
        <w:t>:00</w:t>
      </w:r>
      <w:r>
        <w:rPr>
          <w:rFonts w:hint="eastAsia" w:ascii="仿宋" w:hAnsi="仿宋" w:eastAsia="仿宋" w:cs="仿宋"/>
          <w:bCs/>
          <w:color w:val="000000" w:themeColor="text1"/>
          <w:sz w:val="28"/>
          <w:highlight w:val="none"/>
          <w:lang w:val="en-US" w:eastAsia="zh-CN"/>
          <w14:textFill>
            <w14:solidFill>
              <w14:schemeClr w14:val="tx1"/>
            </w14:solidFill>
          </w14:textFill>
        </w:rPr>
        <w:t>-14:30</w:t>
      </w:r>
      <w:r>
        <w:rPr>
          <w:rFonts w:hint="eastAsia" w:ascii="仿宋" w:hAnsi="仿宋" w:eastAsia="仿宋" w:cs="仿宋"/>
          <w:bCs/>
          <w:color w:val="000000" w:themeColor="text1"/>
          <w:sz w:val="28"/>
          <w:highlight w:val="none"/>
          <w:lang w:eastAsia="zh-CN"/>
          <w14:textFill>
            <w14:solidFill>
              <w14:schemeClr w14:val="tx1"/>
            </w14:solidFill>
          </w14:textFill>
        </w:rPr>
        <w:t>（北京时间）</w:t>
      </w:r>
      <w:r>
        <w:rPr>
          <w:rFonts w:hint="eastAsia" w:ascii="仿宋" w:hAnsi="仿宋" w:eastAsia="仿宋" w:cs="仿宋"/>
          <w:bCs/>
          <w:color w:val="000000" w:themeColor="text1"/>
          <w:sz w:val="28"/>
          <w:highlight w:val="none"/>
          <w14:textFill>
            <w14:solidFill>
              <w14:schemeClr w14:val="tx1"/>
            </w14:solidFill>
          </w14:textFill>
        </w:rPr>
        <w:t>。</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color w:val="000000" w:themeColor="text1"/>
          <w:sz w:val="28"/>
          <w:szCs w:val="28"/>
          <w14:textFill>
            <w14:solidFill>
              <w14:schemeClr w14:val="tx1"/>
            </w14:solidFill>
          </w14:textFill>
        </w:rPr>
      </w:pPr>
      <w:bookmarkStart w:id="26" w:name="_Toc2052"/>
      <w:bookmarkStart w:id="27" w:name="_Toc9750"/>
      <w:r>
        <w:rPr>
          <w:rFonts w:hint="eastAsia" w:ascii="仿宋" w:hAnsi="仿宋" w:eastAsia="仿宋" w:cs="仿宋"/>
          <w:b/>
          <w:color w:val="000000" w:themeColor="text1"/>
          <w:sz w:val="28"/>
          <w:szCs w:val="28"/>
          <w14:textFill>
            <w14:solidFill>
              <w14:schemeClr w14:val="tx1"/>
            </w14:solidFill>
          </w14:textFill>
        </w:rPr>
        <w:t>八、递交响应文件地点：</w:t>
      </w:r>
      <w:bookmarkEnd w:id="26"/>
      <w:bookmarkEnd w:id="27"/>
    </w:p>
    <w:p>
      <w:pPr>
        <w:pageBreakBefore w:val="0"/>
        <w:widowControl w:val="0"/>
        <w:kinsoku/>
        <w:wordWrap/>
        <w:overflowPunct/>
        <w:topLinePunct w:val="0"/>
        <w:autoSpaceDE/>
        <w:autoSpaceDN/>
        <w:bidi w:val="0"/>
        <w:adjustRightInd/>
        <w:spacing w:line="560" w:lineRule="exact"/>
        <w:ind w:firstLine="560"/>
        <w:textAlignment w:val="auto"/>
        <w:rPr>
          <w:rFonts w:hint="default" w:ascii="仿宋" w:hAnsi="仿宋" w:eastAsia="仿宋" w:cs="仿宋"/>
          <w:bCs/>
          <w:color w:val="000000" w:themeColor="text1"/>
          <w:sz w:val="28"/>
          <w:u w:val="single"/>
          <w:lang w:val="en-US"/>
          <w14:textFill>
            <w14:solidFill>
              <w14:schemeClr w14:val="tx1"/>
            </w14:solidFill>
          </w14:textFill>
        </w:rPr>
      </w:pPr>
      <w:r>
        <w:rPr>
          <w:rFonts w:hint="eastAsia" w:ascii="仿宋" w:hAnsi="仿宋" w:eastAsia="仿宋" w:cs="仿宋"/>
          <w:bCs/>
          <w:color w:val="000000" w:themeColor="text1"/>
          <w:sz w:val="28"/>
          <w14:textFill>
            <w14:solidFill>
              <w14:schemeClr w14:val="tx1"/>
            </w14:solidFill>
          </w14:textFill>
        </w:rPr>
        <w:t>递交响应文件的地点：</w:t>
      </w:r>
      <w:r>
        <w:rPr>
          <w:rFonts w:hint="eastAsia" w:ascii="仿宋" w:hAnsi="仿宋" w:eastAsia="仿宋" w:cs="仿宋"/>
          <w:color w:val="000000" w:themeColor="text1"/>
          <w:sz w:val="28"/>
          <w:lang w:val="en-US" w:eastAsia="zh-CN"/>
          <w14:textFill>
            <w14:solidFill>
              <w14:schemeClr w14:val="tx1"/>
            </w14:solidFill>
          </w14:textFill>
        </w:rPr>
        <w:t>汉源县妇幼保健计划生育服务中心四楼办公室</w:t>
      </w:r>
    </w:p>
    <w:p>
      <w:pPr>
        <w:pageBreakBefore w:val="0"/>
        <w:widowControl w:val="0"/>
        <w:kinsoku/>
        <w:wordWrap/>
        <w:overflowPunct/>
        <w:topLinePunct w:val="0"/>
        <w:autoSpaceDE/>
        <w:autoSpaceDN/>
        <w:bidi w:val="0"/>
        <w:adjustRightInd/>
        <w:spacing w:line="560" w:lineRule="exact"/>
        <w:ind w:firstLine="560"/>
        <w:jc w:val="left"/>
        <w:textAlignment w:val="auto"/>
        <w:rPr>
          <w:rFonts w:ascii="仿宋" w:hAnsi="仿宋" w:eastAsia="仿宋" w:cs="仿宋"/>
          <w:b/>
          <w:sz w:val="28"/>
          <w:szCs w:val="28"/>
        </w:rPr>
      </w:pPr>
      <w:r>
        <w:rPr>
          <w:rFonts w:hint="eastAsia" w:ascii="仿宋" w:hAnsi="仿宋" w:eastAsia="仿宋" w:cs="仿宋"/>
          <w:sz w:val="28"/>
        </w:rPr>
        <w:t>注：</w:t>
      </w:r>
      <w:r>
        <w:rPr>
          <w:rFonts w:hint="eastAsia" w:ascii="仿宋" w:hAnsi="仿宋" w:eastAsia="仿宋" w:cs="仿宋"/>
          <w:bCs/>
          <w:sz w:val="28"/>
        </w:rPr>
        <w:t>响应文件</w:t>
      </w:r>
      <w:r>
        <w:rPr>
          <w:rFonts w:hint="eastAsia" w:ascii="仿宋" w:hAnsi="仿宋" w:eastAsia="仿宋" w:cs="仿宋"/>
          <w:sz w:val="28"/>
        </w:rPr>
        <w:t>必须在递交响应文件截止时间前送达，逾期送达的，</w:t>
      </w:r>
      <w:r>
        <w:rPr>
          <w:rFonts w:hint="eastAsia" w:ascii="仿宋" w:hAnsi="仿宋" w:eastAsia="仿宋" w:cs="仿宋"/>
          <w:sz w:val="28"/>
          <w:lang w:eastAsia="zh-CN"/>
        </w:rPr>
        <w:t>采购单位</w:t>
      </w:r>
      <w:r>
        <w:rPr>
          <w:rFonts w:hint="eastAsia" w:ascii="仿宋" w:hAnsi="仿宋" w:eastAsia="仿宋" w:cs="仿宋"/>
          <w:sz w:val="28"/>
        </w:rPr>
        <w:t>将不予受理。</w:t>
      </w:r>
    </w:p>
    <w:p>
      <w:pPr>
        <w:pageBreakBefore w:val="0"/>
        <w:widowControl w:val="0"/>
        <w:kinsoku/>
        <w:wordWrap/>
        <w:overflowPunct/>
        <w:topLinePunct w:val="0"/>
        <w:autoSpaceDE/>
        <w:autoSpaceDN/>
        <w:bidi w:val="0"/>
        <w:adjustRightInd/>
        <w:spacing w:line="560" w:lineRule="exact"/>
        <w:ind w:left="105"/>
        <w:textAlignment w:val="auto"/>
        <w:outlineLvl w:val="1"/>
        <w:rPr>
          <w:rFonts w:ascii="仿宋" w:hAnsi="仿宋" w:eastAsia="仿宋" w:cs="仿宋"/>
          <w:b/>
          <w:bCs/>
          <w:sz w:val="28"/>
          <w:szCs w:val="28"/>
        </w:rPr>
      </w:pPr>
      <w:bookmarkStart w:id="28" w:name="_Toc10172"/>
      <w:bookmarkStart w:id="29" w:name="_Toc4835"/>
      <w:r>
        <w:rPr>
          <w:rFonts w:hint="eastAsia" w:ascii="仿宋" w:hAnsi="仿宋" w:eastAsia="仿宋" w:cs="仿宋"/>
          <w:b/>
          <w:sz w:val="28"/>
          <w:szCs w:val="28"/>
        </w:rPr>
        <w:t>九、</w:t>
      </w:r>
      <w:r>
        <w:rPr>
          <w:rFonts w:hint="eastAsia" w:ascii="仿宋" w:hAnsi="仿宋" w:eastAsia="仿宋" w:cs="仿宋"/>
          <w:b/>
          <w:bCs/>
          <w:sz w:val="28"/>
          <w:szCs w:val="28"/>
        </w:rPr>
        <w:t>比选人联系方式：</w:t>
      </w:r>
      <w:bookmarkEnd w:id="28"/>
      <w:bookmarkEnd w:id="29"/>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比选人：</w:t>
      </w:r>
      <w:r>
        <w:rPr>
          <w:rFonts w:hint="eastAsia" w:ascii="仿宋" w:hAnsi="仿宋" w:eastAsia="仿宋" w:cs="仿宋"/>
          <w:sz w:val="28"/>
          <w:lang w:val="en-US" w:eastAsia="zh-CN"/>
        </w:rPr>
        <w:t>汉源县妇幼保健计划生育服务中心</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  址：四川省雅安市汉源县富林大道二段128号</w:t>
      </w:r>
    </w:p>
    <w:p>
      <w:pPr>
        <w:spacing w:line="360" w:lineRule="auto"/>
        <w:ind w:firstLine="560" w:firstLineChars="200"/>
        <w:jc w:val="left"/>
        <w:outlineLvl w:val="0"/>
        <w:rPr>
          <w:rFonts w:hint="default" w:ascii="仿宋" w:hAnsi="仿宋" w:eastAsia="仿宋" w:cs="仿宋"/>
          <w:color w:val="auto"/>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eastAsia="zh-CN"/>
        </w:rPr>
        <w:t>李老师，</w:t>
      </w:r>
      <w:r>
        <w:rPr>
          <w:rFonts w:hint="eastAsia" w:ascii="仿宋" w:hAnsi="仿宋" w:eastAsia="仿宋" w:cs="仿宋"/>
          <w:bCs/>
          <w:sz w:val="28"/>
          <w:szCs w:val="28"/>
          <w:highlight w:val="none"/>
        </w:rPr>
        <w:t>联系电话：</w:t>
      </w:r>
      <w:bookmarkStart w:id="30" w:name="_Toc20914"/>
      <w:r>
        <w:rPr>
          <w:rFonts w:hint="eastAsia" w:ascii="仿宋" w:hAnsi="仿宋" w:eastAsia="仿宋" w:cs="仿宋"/>
          <w:color w:val="auto"/>
          <w:sz w:val="28"/>
          <w:szCs w:val="28"/>
          <w:lang w:val="en-US" w:eastAsia="zh-CN"/>
        </w:rPr>
        <w:t>15378167339</w:t>
      </w:r>
    </w:p>
    <w:p>
      <w:pPr>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华文中宋" w:hAnsi="华文中宋" w:eastAsia="华文中宋"/>
        </w:rPr>
      </w:pPr>
    </w:p>
    <w:p>
      <w:pPr>
        <w:pStyle w:val="2"/>
        <w:snapToGrid w:val="0"/>
        <w:spacing w:line="240" w:lineRule="auto"/>
        <w:jc w:val="center"/>
        <w:rPr>
          <w:rFonts w:ascii="华文中宋" w:hAnsi="华文中宋" w:eastAsia="华文中宋"/>
        </w:rPr>
      </w:pPr>
      <w:r>
        <w:rPr>
          <w:rFonts w:hint="eastAsia" w:ascii="华文中宋" w:hAnsi="华文中宋" w:eastAsia="华文中宋"/>
        </w:rPr>
        <w:t>第二章  比选申请人须知</w:t>
      </w:r>
      <w:bookmarkEnd w:id="30"/>
    </w:p>
    <w:p>
      <w:pPr>
        <w:pStyle w:val="3"/>
        <w:jc w:val="center"/>
        <w:rPr>
          <w:rFonts w:ascii="宋体" w:hAnsi="宋体"/>
        </w:rPr>
      </w:pPr>
      <w:bookmarkStart w:id="31" w:name="_Toc6155"/>
      <w:bookmarkStart w:id="32" w:name="_Toc7937"/>
      <w:bookmarkStart w:id="33" w:name="_Toc279052245"/>
      <w:bookmarkStart w:id="34" w:name="_Toc1234"/>
      <w:r>
        <w:rPr>
          <w:rFonts w:hint="eastAsia" w:ascii="宋体" w:hAnsi="宋体"/>
          <w:sz w:val="28"/>
          <w:szCs w:val="28"/>
        </w:rPr>
        <w:t>一、比选须知前附表</w:t>
      </w:r>
      <w:bookmarkEnd w:id="31"/>
      <w:bookmarkEnd w:id="32"/>
      <w:bookmarkEnd w:id="33"/>
      <w:bookmarkEnd w:id="34"/>
    </w:p>
    <w:tbl>
      <w:tblPr>
        <w:tblStyle w:val="24"/>
        <w:tblW w:w="102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2205"/>
        <w:gridCol w:w="7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2205"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内容</w:t>
            </w:r>
          </w:p>
        </w:tc>
        <w:tc>
          <w:tcPr>
            <w:tcW w:w="7287" w:type="dxa"/>
            <w:tcBorders>
              <w:tl2br w:val="nil"/>
              <w:tr2bl w:val="nil"/>
            </w:tcBorders>
            <w:vAlign w:val="center"/>
          </w:tcPr>
          <w:p>
            <w:pPr>
              <w:widowControl/>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比选人</w:t>
            </w:r>
          </w:p>
        </w:tc>
        <w:tc>
          <w:tcPr>
            <w:tcW w:w="7287" w:type="dxa"/>
            <w:tcBorders>
              <w:tl2br w:val="nil"/>
              <w:tr2bl w:val="nil"/>
            </w:tcBorders>
            <w:vAlign w:val="center"/>
          </w:tcPr>
          <w:p>
            <w:pPr>
              <w:widowControl/>
              <w:adjustRightInd w:val="0"/>
              <w:spacing w:line="360" w:lineRule="auto"/>
              <w:ind w:firstLine="280" w:firstLineChars="100"/>
              <w:rPr>
                <w:rFonts w:hint="eastAsia" w:ascii="仿宋" w:hAnsi="仿宋" w:eastAsia="仿宋" w:cs="仿宋"/>
                <w:sz w:val="28"/>
                <w:szCs w:val="28"/>
                <w:lang w:eastAsia="zh-CN"/>
              </w:rPr>
            </w:pPr>
            <w:r>
              <w:rPr>
                <w:rFonts w:hint="eastAsia" w:ascii="仿宋" w:hAnsi="仿宋" w:eastAsia="仿宋" w:cs="仿宋"/>
                <w:sz w:val="28"/>
                <w:lang w:val="en-US" w:eastAsia="zh-CN"/>
              </w:rPr>
              <w:t>汉源县妇幼保健计划生育服务中心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7287" w:type="dxa"/>
            <w:tcBorders>
              <w:tl2br w:val="nil"/>
              <w:tr2bl w:val="nil"/>
            </w:tcBorders>
            <w:vAlign w:val="center"/>
          </w:tcPr>
          <w:p>
            <w:pPr>
              <w:spacing w:line="360" w:lineRule="auto"/>
              <w:ind w:firstLine="280" w:firstLineChars="100"/>
              <w:jc w:val="left"/>
              <w:outlineLvl w:val="0"/>
              <w:rPr>
                <w:rFonts w:hint="eastAsia" w:ascii="仿宋" w:hAnsi="仿宋" w:eastAsia="仿宋" w:cs="仿宋"/>
                <w:sz w:val="28"/>
                <w:szCs w:val="28"/>
                <w:lang w:eastAsia="zh-CN"/>
              </w:rPr>
            </w:pPr>
            <w:r>
              <w:rPr>
                <w:rFonts w:hint="eastAsia" w:ascii="仿宋" w:hAnsi="仿宋" w:eastAsia="仿宋" w:cs="仿宋"/>
                <w:sz w:val="28"/>
                <w:u w:val="none"/>
                <w:lang w:eastAsia="zh-CN"/>
              </w:rPr>
              <w:t>汉源县</w:t>
            </w:r>
            <w:r>
              <w:rPr>
                <w:rFonts w:hint="eastAsia" w:ascii="仿宋" w:hAnsi="仿宋" w:eastAsia="仿宋" w:cs="仿宋"/>
                <w:sz w:val="28"/>
                <w:u w:val="none"/>
                <w:lang w:val="en-US" w:eastAsia="zh-CN"/>
              </w:rPr>
              <w:t>妇幼保健计划生育服务中心托育服务中心师资力量采购</w:t>
            </w:r>
            <w:r>
              <w:rPr>
                <w:rFonts w:hint="eastAsia" w:ascii="仿宋" w:hAnsi="仿宋" w:eastAsia="仿宋" w:cs="仿宋"/>
                <w:sz w:val="28"/>
                <w:u w:val="none"/>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2205" w:type="dxa"/>
            <w:tcBorders>
              <w:tl2br w:val="nil"/>
              <w:tr2bl w:val="nil"/>
            </w:tcBorders>
            <w:vAlign w:val="center"/>
          </w:tcPr>
          <w:p>
            <w:pPr>
              <w:spacing w:line="360" w:lineRule="auto"/>
              <w:jc w:val="center"/>
              <w:outlineLvl w:val="0"/>
              <w:rPr>
                <w:rFonts w:ascii="仿宋" w:hAnsi="仿宋" w:eastAsia="仿宋" w:cs="仿宋"/>
                <w:sz w:val="28"/>
                <w:szCs w:val="28"/>
              </w:rPr>
            </w:pPr>
            <w:bookmarkStart w:id="35" w:name="_Toc27999"/>
            <w:bookmarkStart w:id="36" w:name="_Toc11348"/>
            <w:bookmarkStart w:id="37" w:name="_Toc17814"/>
            <w:r>
              <w:rPr>
                <w:rFonts w:hint="eastAsia" w:ascii="仿宋" w:hAnsi="仿宋" w:eastAsia="仿宋" w:cs="仿宋"/>
                <w:sz w:val="28"/>
                <w:szCs w:val="28"/>
              </w:rPr>
              <w:t>采购预算</w:t>
            </w:r>
            <w:bookmarkEnd w:id="35"/>
            <w:bookmarkEnd w:id="36"/>
            <w:bookmarkEnd w:id="37"/>
          </w:p>
          <w:p>
            <w:pPr>
              <w:spacing w:line="360" w:lineRule="auto"/>
              <w:jc w:val="left"/>
              <w:outlineLvl w:val="0"/>
              <w:rPr>
                <w:rFonts w:ascii="仿宋" w:hAnsi="仿宋" w:eastAsia="仿宋" w:cs="仿宋"/>
                <w:sz w:val="28"/>
                <w:szCs w:val="28"/>
              </w:rPr>
            </w:pPr>
            <w:bookmarkStart w:id="38" w:name="_Toc22908"/>
            <w:bookmarkStart w:id="39" w:name="_Toc19413"/>
            <w:bookmarkStart w:id="40" w:name="_Toc16585"/>
            <w:r>
              <w:rPr>
                <w:rFonts w:hint="eastAsia" w:ascii="仿宋" w:hAnsi="仿宋" w:eastAsia="仿宋" w:cs="仿宋"/>
                <w:sz w:val="28"/>
                <w:szCs w:val="28"/>
              </w:rPr>
              <w:t>（实质性要求）</w:t>
            </w:r>
            <w:bookmarkEnd w:id="38"/>
            <w:bookmarkEnd w:id="39"/>
            <w:bookmarkEnd w:id="40"/>
          </w:p>
        </w:tc>
        <w:tc>
          <w:tcPr>
            <w:tcW w:w="7287" w:type="dxa"/>
            <w:tcBorders>
              <w:tl2br w:val="nil"/>
              <w:tr2bl w:val="nil"/>
            </w:tcBorders>
            <w:vAlign w:val="center"/>
          </w:tcPr>
          <w:p>
            <w:pPr>
              <w:spacing w:line="360" w:lineRule="auto"/>
              <w:ind w:firstLine="280" w:firstLineChars="100"/>
              <w:jc w:val="left"/>
              <w:outlineLvl w:val="0"/>
              <w:rPr>
                <w:rFonts w:ascii="仿宋" w:hAnsi="仿宋" w:eastAsia="仿宋" w:cs="仿宋"/>
                <w:color w:val="auto"/>
                <w:sz w:val="28"/>
                <w:szCs w:val="28"/>
              </w:rPr>
            </w:pPr>
            <w:bookmarkStart w:id="41" w:name="_Toc2861"/>
            <w:bookmarkStart w:id="42" w:name="_Toc19624"/>
            <w:r>
              <w:rPr>
                <w:rFonts w:hint="eastAsia" w:ascii="仿宋" w:hAnsi="仿宋" w:eastAsia="仿宋" w:cs="仿宋"/>
                <w:color w:val="auto"/>
                <w:sz w:val="28"/>
                <w:szCs w:val="28"/>
              </w:rPr>
              <w:t>采购预算：</w:t>
            </w:r>
            <w:bookmarkEnd w:id="41"/>
            <w:bookmarkEnd w:id="42"/>
          </w:p>
          <w:p>
            <w:pPr>
              <w:spacing w:line="360" w:lineRule="auto"/>
              <w:ind w:firstLine="280" w:firstLineChars="100"/>
              <w:jc w:val="left"/>
              <w:outlineLvl w:val="0"/>
              <w:rPr>
                <w:rFonts w:ascii="仿宋" w:hAnsi="仿宋" w:eastAsia="仿宋" w:cs="仿宋"/>
                <w:color w:val="auto"/>
                <w:sz w:val="28"/>
                <w:szCs w:val="28"/>
              </w:rPr>
            </w:pPr>
            <w:bookmarkStart w:id="43" w:name="_Toc25481"/>
            <w:r>
              <w:rPr>
                <w:rFonts w:hint="eastAsia" w:ascii="仿宋" w:hAnsi="仿宋" w:eastAsia="仿宋" w:cs="仿宋"/>
                <w:color w:val="auto"/>
                <w:sz w:val="28"/>
                <w:szCs w:val="28"/>
              </w:rPr>
              <w:t>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szCs w:val="28"/>
              </w:rPr>
              <w:t>元，</w:t>
            </w:r>
            <w:bookmarkStart w:id="44" w:name="_Toc18472"/>
            <w:r>
              <w:rPr>
                <w:rFonts w:hint="eastAsia" w:ascii="仿宋" w:hAnsi="仿宋" w:eastAsia="仿宋" w:cs="仿宋"/>
                <w:color w:val="auto"/>
                <w:sz w:val="28"/>
                <w:szCs w:val="28"/>
              </w:rPr>
              <w:t>超过采购预算的报价无效。</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2205" w:type="dxa"/>
            <w:tcBorders>
              <w:tl2br w:val="nil"/>
              <w:tr2bl w:val="nil"/>
            </w:tcBorders>
            <w:vAlign w:val="center"/>
          </w:tcPr>
          <w:p>
            <w:pPr>
              <w:spacing w:line="360" w:lineRule="auto"/>
              <w:jc w:val="center"/>
              <w:outlineLvl w:val="0"/>
              <w:rPr>
                <w:rFonts w:ascii="仿宋" w:hAnsi="仿宋" w:eastAsia="仿宋" w:cs="仿宋"/>
                <w:sz w:val="28"/>
                <w:szCs w:val="28"/>
              </w:rPr>
            </w:pPr>
            <w:bookmarkStart w:id="45" w:name="_Toc30497"/>
            <w:bookmarkStart w:id="46" w:name="_Toc27707"/>
            <w:bookmarkStart w:id="47" w:name="_Toc25484"/>
            <w:r>
              <w:rPr>
                <w:rFonts w:hint="eastAsia" w:ascii="仿宋" w:hAnsi="仿宋" w:eastAsia="仿宋" w:cs="仿宋"/>
                <w:sz w:val="28"/>
                <w:szCs w:val="28"/>
              </w:rPr>
              <w:t>最高限价</w:t>
            </w:r>
            <w:bookmarkEnd w:id="45"/>
            <w:bookmarkEnd w:id="46"/>
            <w:bookmarkEnd w:id="47"/>
          </w:p>
          <w:p>
            <w:pPr>
              <w:spacing w:line="360" w:lineRule="auto"/>
              <w:jc w:val="left"/>
              <w:outlineLvl w:val="0"/>
              <w:rPr>
                <w:rFonts w:ascii="仿宋" w:hAnsi="仿宋" w:eastAsia="仿宋" w:cs="仿宋"/>
                <w:sz w:val="28"/>
                <w:szCs w:val="28"/>
              </w:rPr>
            </w:pPr>
            <w:bookmarkStart w:id="48" w:name="_Toc21559"/>
            <w:bookmarkStart w:id="49" w:name="_Toc31020"/>
            <w:bookmarkStart w:id="50" w:name="_Toc24845"/>
            <w:r>
              <w:rPr>
                <w:rFonts w:hint="eastAsia" w:ascii="仿宋" w:hAnsi="仿宋" w:eastAsia="仿宋" w:cs="仿宋"/>
                <w:sz w:val="28"/>
                <w:szCs w:val="28"/>
              </w:rPr>
              <w:t>（实质性要求）</w:t>
            </w:r>
            <w:bookmarkEnd w:id="48"/>
            <w:bookmarkEnd w:id="49"/>
            <w:bookmarkEnd w:id="50"/>
          </w:p>
        </w:tc>
        <w:tc>
          <w:tcPr>
            <w:tcW w:w="7287" w:type="dxa"/>
            <w:tcBorders>
              <w:tl2br w:val="nil"/>
              <w:tr2bl w:val="nil"/>
            </w:tcBorders>
            <w:vAlign w:val="center"/>
          </w:tcPr>
          <w:p>
            <w:pPr>
              <w:spacing w:line="360" w:lineRule="auto"/>
              <w:ind w:firstLine="280" w:firstLineChars="100"/>
              <w:jc w:val="left"/>
              <w:outlineLvl w:val="0"/>
              <w:rPr>
                <w:rFonts w:ascii="仿宋" w:hAnsi="仿宋" w:eastAsia="仿宋" w:cs="仿宋"/>
                <w:color w:val="auto"/>
                <w:sz w:val="28"/>
                <w:szCs w:val="28"/>
              </w:rPr>
            </w:pPr>
            <w:bookmarkStart w:id="51" w:name="_Toc9345"/>
            <w:bookmarkStart w:id="52" w:name="_Toc13932"/>
            <w:r>
              <w:rPr>
                <w:rFonts w:hint="eastAsia" w:ascii="仿宋" w:hAnsi="仿宋" w:eastAsia="仿宋" w:cs="仿宋"/>
                <w:color w:val="auto"/>
                <w:sz w:val="28"/>
                <w:szCs w:val="28"/>
              </w:rPr>
              <w:t>最高限价：</w:t>
            </w:r>
            <w:bookmarkEnd w:id="51"/>
            <w:bookmarkEnd w:id="52"/>
          </w:p>
          <w:p>
            <w:pPr>
              <w:spacing w:line="360" w:lineRule="auto"/>
              <w:ind w:firstLine="280" w:firstLineChars="100"/>
              <w:jc w:val="left"/>
              <w:outlineLvl w:val="0"/>
              <w:rPr>
                <w:rFonts w:ascii="仿宋" w:hAnsi="仿宋" w:eastAsia="仿宋" w:cs="仿宋"/>
                <w:color w:val="auto"/>
                <w:sz w:val="28"/>
                <w:szCs w:val="28"/>
              </w:rPr>
            </w:pPr>
            <w:bookmarkStart w:id="53" w:name="_Toc5719"/>
            <w:bookmarkStart w:id="54" w:name="_Toc9890"/>
            <w:r>
              <w:rPr>
                <w:rFonts w:hint="eastAsia" w:ascii="仿宋" w:hAnsi="仿宋" w:eastAsia="仿宋" w:cs="仿宋"/>
                <w:color w:val="auto"/>
                <w:sz w:val="28"/>
                <w:szCs w:val="28"/>
              </w:rPr>
              <w:t>人民币</w:t>
            </w:r>
            <w:r>
              <w:rPr>
                <w:rFonts w:hint="eastAsia" w:ascii="仿宋" w:hAnsi="仿宋" w:eastAsia="仿宋" w:cs="仿宋"/>
                <w:color w:val="auto"/>
                <w:sz w:val="28"/>
                <w:highlight w:val="none"/>
                <w:lang w:val="en-US" w:eastAsia="zh-CN"/>
              </w:rPr>
              <w:t>29.8万</w:t>
            </w:r>
            <w:r>
              <w:rPr>
                <w:rFonts w:hint="eastAsia" w:ascii="仿宋" w:hAnsi="仿宋" w:eastAsia="仿宋" w:cs="仿宋"/>
                <w:color w:val="auto"/>
                <w:sz w:val="28"/>
                <w:szCs w:val="28"/>
              </w:rPr>
              <w:t>元，超过最高限价的报价无效。</w:t>
            </w:r>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期限</w:t>
            </w:r>
          </w:p>
        </w:tc>
        <w:tc>
          <w:tcPr>
            <w:tcW w:w="7287" w:type="dxa"/>
            <w:tcBorders>
              <w:tl2br w:val="nil"/>
              <w:tr2bl w:val="nil"/>
            </w:tcBorders>
            <w:vAlign w:val="center"/>
          </w:tcPr>
          <w:p>
            <w:pPr>
              <w:spacing w:line="360" w:lineRule="auto"/>
              <w:ind w:firstLine="280" w:firstLineChars="100"/>
              <w:jc w:val="left"/>
              <w:outlineLvl w:val="0"/>
              <w:rPr>
                <w:rFonts w:hint="default" w:eastAsia="宋体"/>
                <w:lang w:val="en-US" w:eastAsia="zh-CN"/>
              </w:rPr>
            </w:pPr>
            <w:r>
              <w:rPr>
                <w:rFonts w:hint="eastAsia" w:ascii="仿宋" w:hAnsi="仿宋" w:eastAsia="仿宋" w:cs="仿宋"/>
                <w:sz w:val="28"/>
                <w:szCs w:val="28"/>
                <w:lang w:val="en-US" w:eastAsia="zh-CN"/>
              </w:rPr>
              <w:t>自合同生效起1年，一年到期后经考核合格后可续签，1年一签，最多续签2次。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比选申请人资格要求</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详见第一章。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响应文件份数</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一份正本、两份副本（在封面上应分别标明正本和副本字样）；正副本应完全一致，如不一致时，以正本为准。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8</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评审方法</w:t>
            </w:r>
          </w:p>
        </w:tc>
        <w:tc>
          <w:tcPr>
            <w:tcW w:w="7287" w:type="dxa"/>
            <w:tcBorders>
              <w:tl2br w:val="nil"/>
              <w:tr2bl w:val="nil"/>
            </w:tcBorders>
            <w:vAlign w:val="center"/>
          </w:tcPr>
          <w:p>
            <w:pPr>
              <w:widowControl/>
              <w:adjustRightIn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2205" w:type="dxa"/>
            <w:tcBorders>
              <w:tl2br w:val="nil"/>
              <w:tr2bl w:val="nil"/>
            </w:tcBorders>
            <w:vAlign w:val="center"/>
          </w:tcPr>
          <w:p>
            <w:pPr>
              <w:widowControl/>
              <w:adjustRightInd w:val="0"/>
              <w:spacing w:line="360" w:lineRule="auto"/>
              <w:jc w:val="center"/>
              <w:rPr>
                <w:rFonts w:ascii="仿宋" w:hAnsi="仿宋" w:eastAsia="仿宋" w:cs="仿宋"/>
                <w:sz w:val="28"/>
                <w:szCs w:val="28"/>
              </w:rPr>
            </w:pPr>
            <w:r>
              <w:rPr>
                <w:rFonts w:hint="eastAsia" w:ascii="仿宋" w:hAnsi="仿宋" w:eastAsia="仿宋" w:cs="仿宋"/>
                <w:sz w:val="28"/>
                <w:szCs w:val="28"/>
              </w:rPr>
              <w:t>比选服务费</w:t>
            </w:r>
          </w:p>
        </w:tc>
        <w:tc>
          <w:tcPr>
            <w:tcW w:w="7287" w:type="dxa"/>
            <w:tcBorders>
              <w:tl2br w:val="nil"/>
              <w:tr2bl w:val="nil"/>
            </w:tcBorders>
            <w:vAlign w:val="center"/>
          </w:tcPr>
          <w:p>
            <w:pPr>
              <w:widowControl/>
              <w:adjustRightInd w:val="0"/>
              <w:spacing w:line="360" w:lineRule="auto"/>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本项目不收取服务费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2205" w:type="dxa"/>
            <w:tcBorders>
              <w:tl2br w:val="nil"/>
              <w:tr2bl w:val="nil"/>
            </w:tcBorders>
            <w:vAlign w:val="center"/>
          </w:tcPr>
          <w:p>
            <w:pPr>
              <w:spacing w:line="360" w:lineRule="auto"/>
              <w:jc w:val="center"/>
              <w:rPr>
                <w:rFonts w:ascii="宋体" w:hAnsi="宋体" w:cs="宋体"/>
                <w:sz w:val="24"/>
                <w:szCs w:val="24"/>
              </w:rPr>
            </w:pPr>
            <w:r>
              <w:rPr>
                <w:rFonts w:hint="eastAsia" w:ascii="仿宋" w:hAnsi="仿宋" w:eastAsia="仿宋" w:cs="仿宋"/>
                <w:sz w:val="28"/>
                <w:szCs w:val="28"/>
              </w:rPr>
              <w:t>比选文件询问</w:t>
            </w:r>
          </w:p>
        </w:tc>
        <w:tc>
          <w:tcPr>
            <w:tcW w:w="7287" w:type="dxa"/>
            <w:tcBorders>
              <w:tl2br w:val="nil"/>
              <w:tr2bl w:val="nil"/>
            </w:tcBorders>
            <w:vAlign w:val="center"/>
          </w:tcPr>
          <w:p>
            <w:pPr>
              <w:spacing w:line="360" w:lineRule="auto"/>
              <w:ind w:firstLine="280" w:firstLineChars="100"/>
              <w:jc w:val="left"/>
              <w:outlineLvl w:val="0"/>
              <w:rPr>
                <w:rFonts w:hint="default" w:ascii="仿宋" w:hAnsi="仿宋" w:eastAsia="仿宋" w:cs="仿宋"/>
                <w:color w:val="auto"/>
                <w:sz w:val="28"/>
                <w:szCs w:val="28"/>
                <w:lang w:val="en-US" w:eastAsia="zh-CN"/>
              </w:rPr>
            </w:pPr>
            <w:bookmarkStart w:id="55" w:name="_Toc16275"/>
            <w:bookmarkStart w:id="56" w:name="_Toc26654"/>
            <w:bookmarkStart w:id="57" w:name="_Toc18240"/>
            <w:r>
              <w:rPr>
                <w:rFonts w:hint="eastAsia" w:ascii="仿宋" w:hAnsi="仿宋" w:eastAsia="仿宋" w:cs="仿宋"/>
                <w:color w:val="auto"/>
                <w:sz w:val="28"/>
                <w:szCs w:val="28"/>
              </w:rPr>
              <w:t>联系电话：</w:t>
            </w:r>
            <w:bookmarkEnd w:id="55"/>
            <w:bookmarkEnd w:id="56"/>
            <w:bookmarkEnd w:id="57"/>
            <w:r>
              <w:rPr>
                <w:rFonts w:hint="eastAsia" w:ascii="仿宋" w:hAnsi="仿宋" w:eastAsia="仿宋" w:cs="仿宋"/>
                <w:color w:val="auto"/>
                <w:sz w:val="28"/>
                <w:szCs w:val="28"/>
                <w:lang w:val="en-US" w:eastAsia="zh-CN"/>
              </w:rPr>
              <w:t>15378167339</w:t>
            </w:r>
          </w:p>
          <w:p>
            <w:pPr>
              <w:spacing w:line="360" w:lineRule="auto"/>
              <w:ind w:firstLine="280" w:firstLineChars="100"/>
              <w:jc w:val="left"/>
              <w:outlineLvl w:val="0"/>
              <w:rPr>
                <w:rFonts w:hint="default" w:ascii="宋体" w:hAnsi="宋体" w:eastAsia="仿宋" w:cs="宋体"/>
                <w:sz w:val="24"/>
                <w:szCs w:val="24"/>
                <w:lang w:val="en-US" w:eastAsia="zh-CN"/>
              </w:rPr>
            </w:pPr>
            <w:bookmarkStart w:id="58" w:name="_Toc17124"/>
            <w:bookmarkStart w:id="59" w:name="_Toc3345"/>
            <w:bookmarkStart w:id="60" w:name="_Toc26329"/>
            <w:r>
              <w:rPr>
                <w:rFonts w:hint="eastAsia" w:ascii="仿宋" w:hAnsi="仿宋" w:eastAsia="仿宋" w:cs="仿宋"/>
                <w:color w:val="auto"/>
                <w:sz w:val="28"/>
                <w:szCs w:val="28"/>
              </w:rPr>
              <w:t>地址：</w:t>
            </w:r>
            <w:bookmarkEnd w:id="58"/>
            <w:bookmarkEnd w:id="59"/>
            <w:bookmarkEnd w:id="60"/>
            <w:r>
              <w:rPr>
                <w:rFonts w:hint="eastAsia" w:ascii="仿宋" w:hAnsi="仿宋" w:eastAsia="仿宋" w:cs="仿宋"/>
                <w:color w:val="auto"/>
                <w:sz w:val="28"/>
                <w:szCs w:val="28"/>
                <w:lang w:val="en-US" w:eastAsia="zh-CN"/>
              </w:rPr>
              <w:t>汉源县妇幼保健计划生育服务中心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pPr>
              <w:spacing w:line="360" w:lineRule="auto"/>
              <w:jc w:val="center"/>
              <w:rPr>
                <w:rFonts w:hint="default" w:ascii="宋体" w:hAnsi="宋体" w:eastAsia="宋体" w:cs="宋体"/>
                <w:sz w:val="24"/>
                <w:szCs w:val="24"/>
                <w:lang w:val="en-US" w:eastAsia="zh-CN"/>
              </w:rPr>
            </w:pPr>
            <w:bookmarkStart w:id="61" w:name="_Toc12083"/>
            <w:bookmarkStart w:id="62" w:name="_Toc14546"/>
            <w:bookmarkStart w:id="63" w:name="_Toc6239"/>
            <w:r>
              <w:rPr>
                <w:rFonts w:hint="eastAsia" w:ascii="宋体" w:hAnsi="宋体" w:cs="宋体"/>
                <w:sz w:val="24"/>
                <w:szCs w:val="24"/>
                <w:lang w:val="en-US" w:eastAsia="zh-CN"/>
              </w:rPr>
              <w:t>11</w:t>
            </w:r>
          </w:p>
        </w:tc>
        <w:tc>
          <w:tcPr>
            <w:tcW w:w="2205" w:type="dxa"/>
            <w:tcBorders>
              <w:tl2br w:val="nil"/>
              <w:tr2bl w:val="nil"/>
            </w:tcBorders>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行业划分</w:t>
            </w:r>
          </w:p>
        </w:tc>
        <w:tc>
          <w:tcPr>
            <w:tcW w:w="7287" w:type="dxa"/>
            <w:tcBorders>
              <w:tl2br w:val="nil"/>
              <w:tr2bl w:val="nil"/>
            </w:tcBorders>
            <w:vAlign w:val="center"/>
          </w:tcPr>
          <w:p>
            <w:pPr>
              <w:spacing w:line="360" w:lineRule="auto"/>
              <w:ind w:firstLine="280" w:firstLineChars="100"/>
              <w:jc w:val="left"/>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服务业</w:t>
            </w:r>
          </w:p>
        </w:tc>
      </w:tr>
    </w:tbl>
    <w:p>
      <w:pPr>
        <w:pStyle w:val="3"/>
        <w:jc w:val="center"/>
        <w:rPr>
          <w:rFonts w:ascii="宋体" w:hAnsi="宋体"/>
          <w:sz w:val="28"/>
          <w:szCs w:val="28"/>
        </w:rPr>
      </w:pPr>
      <w:r>
        <w:rPr>
          <w:rFonts w:hint="eastAsia" w:ascii="宋体" w:hAnsi="宋体"/>
          <w:sz w:val="28"/>
          <w:szCs w:val="28"/>
        </w:rPr>
        <w:t>二、总则</w:t>
      </w:r>
      <w:bookmarkEnd w:id="61"/>
      <w:bookmarkEnd w:id="62"/>
      <w:bookmarkEnd w:id="63"/>
    </w:p>
    <w:p>
      <w:pPr>
        <w:pStyle w:val="5"/>
        <w:adjustRightInd w:val="0"/>
        <w:snapToGrid w:val="0"/>
        <w:spacing w:before="0" w:after="0" w:line="360" w:lineRule="auto"/>
      </w:pPr>
      <w:bookmarkStart w:id="64" w:name="_Toc28694"/>
      <w:bookmarkStart w:id="65" w:name="_Toc16988"/>
      <w:bookmarkStart w:id="66" w:name="_Toc440"/>
      <w:r>
        <w:rPr>
          <w:rFonts w:hint="eastAsia"/>
        </w:rPr>
        <w:t>1、比选文件及有关定义</w:t>
      </w:r>
      <w:bookmarkEnd w:id="64"/>
      <w:bookmarkEnd w:id="65"/>
      <w:bookmarkEnd w:id="66"/>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1.1比选申请人应仔细阅读本比选文件，按比选文件的规定和要求编写响应文件。</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67" w:name="_Toc12808"/>
      <w:bookmarkStart w:id="68" w:name="_Toc30403"/>
      <w:r>
        <w:rPr>
          <w:rFonts w:hint="eastAsia" w:ascii="仿宋_GB2312" w:eastAsia="仿宋_GB2312"/>
          <w:sz w:val="28"/>
          <w:szCs w:val="28"/>
        </w:rPr>
        <w:t>1.2 有关定义</w:t>
      </w:r>
      <w:bookmarkEnd w:id="67"/>
      <w:bookmarkEnd w:id="68"/>
    </w:p>
    <w:p>
      <w:pPr>
        <w:spacing w:line="800" w:lineRule="exact"/>
        <w:jc w:val="center"/>
        <w:outlineLvl w:val="0"/>
        <w:rPr>
          <w:rFonts w:hint="eastAsia" w:ascii="仿宋_GB2312" w:eastAsia="仿宋_GB2312"/>
          <w:sz w:val="28"/>
          <w:szCs w:val="28"/>
          <w:lang w:val="en-US" w:eastAsia="zh-CN"/>
        </w:rPr>
      </w:pPr>
      <w:bookmarkStart w:id="69" w:name="_Toc30992"/>
      <w:bookmarkStart w:id="70" w:name="_Toc26136"/>
      <w:r>
        <w:rPr>
          <w:rFonts w:hint="eastAsia" w:ascii="仿宋_GB2312" w:eastAsia="仿宋_GB2312"/>
          <w:sz w:val="28"/>
          <w:szCs w:val="28"/>
        </w:rPr>
        <w:t>1.2</w:t>
      </w:r>
      <w:r>
        <w:rPr>
          <w:rFonts w:ascii="仿宋_GB2312" w:eastAsia="仿宋_GB2312"/>
          <w:sz w:val="28"/>
          <w:szCs w:val="28"/>
        </w:rPr>
        <w:t>.</w:t>
      </w:r>
      <w:r>
        <w:rPr>
          <w:rFonts w:hint="eastAsia" w:ascii="仿宋_GB2312" w:eastAsia="仿宋_GB2312"/>
          <w:sz w:val="28"/>
          <w:szCs w:val="28"/>
        </w:rPr>
        <w:t>1 “比选人”系指</w:t>
      </w:r>
      <w:r>
        <w:rPr>
          <w:rFonts w:hint="eastAsia" w:ascii="仿宋_GB2312" w:eastAsia="仿宋_GB2312"/>
          <w:sz w:val="28"/>
          <w:szCs w:val="28"/>
          <w:lang w:val="en-US" w:eastAsia="zh-CN"/>
        </w:rPr>
        <w:t>汉源县妇幼保健计划生育服务中心</w:t>
      </w:r>
    </w:p>
    <w:p>
      <w:pPr>
        <w:widowControl/>
        <w:adjustRightInd w:val="0"/>
        <w:snapToGrid w:val="0"/>
        <w:spacing w:line="360" w:lineRule="auto"/>
        <w:ind w:firstLine="560" w:firstLineChars="200"/>
        <w:jc w:val="left"/>
        <w:outlineLvl w:val="4"/>
        <w:rPr>
          <w:rFonts w:ascii="仿宋_GB2312" w:eastAsia="仿宋_GB2312"/>
          <w:sz w:val="28"/>
          <w:szCs w:val="28"/>
        </w:rPr>
      </w:pPr>
      <w:r>
        <w:rPr>
          <w:rFonts w:hint="eastAsia" w:ascii="仿宋_GB2312" w:eastAsia="仿宋_GB2312"/>
          <w:sz w:val="28"/>
          <w:szCs w:val="28"/>
        </w:rPr>
        <w:t>。</w:t>
      </w:r>
      <w:bookmarkEnd w:id="69"/>
      <w:bookmarkEnd w:id="70"/>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1.2</w:t>
      </w:r>
      <w:r>
        <w:rPr>
          <w:rFonts w:ascii="仿宋_GB2312" w:eastAsia="仿宋_GB2312"/>
          <w:sz w:val="28"/>
          <w:szCs w:val="28"/>
        </w:rPr>
        <w:t>.</w:t>
      </w:r>
      <w:r>
        <w:rPr>
          <w:rFonts w:hint="eastAsia" w:ascii="仿宋_GB2312" w:eastAsia="仿宋_GB2312"/>
          <w:sz w:val="28"/>
          <w:szCs w:val="28"/>
        </w:rPr>
        <w:t>2 “比选申请人”系指拟参加比选并愿意向比选人提供相应服务的潜在供应商。</w:t>
      </w:r>
    </w:p>
    <w:p>
      <w:pPr>
        <w:pStyle w:val="5"/>
        <w:adjustRightInd w:val="0"/>
        <w:snapToGrid w:val="0"/>
        <w:spacing w:before="0" w:after="0" w:line="360" w:lineRule="auto"/>
      </w:pPr>
      <w:bookmarkStart w:id="71" w:name="_Toc2268"/>
      <w:bookmarkStart w:id="72" w:name="_Toc8779"/>
      <w:bookmarkStart w:id="73" w:name="_Toc12235"/>
      <w:r>
        <w:rPr>
          <w:rFonts w:hint="eastAsia"/>
        </w:rPr>
        <w:t>2、报价</w:t>
      </w:r>
      <w:bookmarkEnd w:id="71"/>
      <w:bookmarkEnd w:id="72"/>
      <w:bookmarkEnd w:id="73"/>
    </w:p>
    <w:p>
      <w:pPr>
        <w:pStyle w:val="5"/>
        <w:adjustRightInd w:val="0"/>
        <w:snapToGrid w:val="0"/>
        <w:spacing w:before="0" w:after="0" w:line="360" w:lineRule="auto"/>
        <w:ind w:firstLine="560" w:firstLineChars="200"/>
        <w:rPr>
          <w:rFonts w:ascii="仿宋_GB2312" w:hAnsi="Calibri" w:eastAsia="仿宋_GB2312"/>
          <w:b w:val="0"/>
          <w:bCs w:val="0"/>
        </w:rPr>
      </w:pPr>
      <w:bookmarkStart w:id="74" w:name="_Toc9476"/>
      <w:bookmarkStart w:id="75" w:name="_Toc19238"/>
      <w:bookmarkStart w:id="76" w:name="_Toc27879"/>
      <w:r>
        <w:rPr>
          <w:rFonts w:hint="eastAsia" w:ascii="仿宋_GB2312" w:hAnsi="Calibri" w:eastAsia="仿宋_GB2312"/>
          <w:b w:val="0"/>
          <w:bCs w:val="0"/>
        </w:rPr>
        <w:t>本次比选项目的报价货币为人民币，报价以比选文件约定为准。</w:t>
      </w:r>
      <w:bookmarkEnd w:id="74"/>
      <w:bookmarkEnd w:id="75"/>
      <w:bookmarkEnd w:id="76"/>
    </w:p>
    <w:p>
      <w:pPr>
        <w:pStyle w:val="5"/>
        <w:adjustRightInd w:val="0"/>
        <w:snapToGrid w:val="0"/>
        <w:spacing w:before="0" w:after="0" w:line="360" w:lineRule="auto"/>
      </w:pPr>
      <w:bookmarkStart w:id="77" w:name="_Toc795"/>
      <w:bookmarkStart w:id="78" w:name="_Toc10495"/>
      <w:bookmarkStart w:id="79" w:name="_Toc3638"/>
      <w:r>
        <w:rPr>
          <w:rFonts w:hint="eastAsia"/>
        </w:rPr>
        <w:t>3、响应文件的组成</w:t>
      </w:r>
      <w:bookmarkEnd w:id="77"/>
      <w:bookmarkEnd w:id="78"/>
      <w:bookmarkEnd w:id="79"/>
    </w:p>
    <w:p>
      <w:pPr>
        <w:widowControl/>
        <w:adjustRightInd w:val="0"/>
        <w:snapToGrid w:val="0"/>
        <w:spacing w:line="360" w:lineRule="auto"/>
        <w:ind w:firstLine="560" w:firstLineChars="200"/>
        <w:jc w:val="left"/>
        <w:outlineLvl w:val="3"/>
        <w:rPr>
          <w:rFonts w:ascii="仿宋_GB2312" w:eastAsia="仿宋_GB2312"/>
          <w:sz w:val="28"/>
          <w:szCs w:val="28"/>
        </w:rPr>
      </w:pPr>
      <w:bookmarkStart w:id="80" w:name="_Toc17304"/>
      <w:bookmarkStart w:id="81" w:name="_Toc18993"/>
      <w:r>
        <w:rPr>
          <w:rFonts w:hint="eastAsia" w:ascii="仿宋_GB2312" w:eastAsia="仿宋_GB2312"/>
          <w:sz w:val="28"/>
          <w:szCs w:val="28"/>
        </w:rPr>
        <w:t>3.1 响应文件的编制</w:t>
      </w:r>
      <w:bookmarkEnd w:id="80"/>
      <w:bookmarkEnd w:id="81"/>
    </w:p>
    <w:p>
      <w:pPr>
        <w:widowControl/>
        <w:adjustRightInd w:val="0"/>
        <w:snapToGrid w:val="0"/>
        <w:spacing w:line="360" w:lineRule="auto"/>
        <w:ind w:firstLine="560" w:firstLineChars="200"/>
        <w:jc w:val="left"/>
        <w:outlineLvl w:val="4"/>
        <w:rPr>
          <w:rFonts w:ascii="仿宋_GB2312" w:eastAsia="仿宋_GB2312"/>
          <w:sz w:val="28"/>
          <w:szCs w:val="28"/>
        </w:rPr>
      </w:pPr>
      <w:bookmarkStart w:id="82" w:name="_Toc30147"/>
      <w:bookmarkStart w:id="83" w:name="_Toc24044"/>
      <w:r>
        <w:rPr>
          <w:rFonts w:hint="eastAsia" w:ascii="仿宋_GB2312" w:eastAsia="仿宋_GB2312"/>
          <w:sz w:val="28"/>
          <w:szCs w:val="28"/>
        </w:rPr>
        <w:t>3.1.1 响应文件的格式</w:t>
      </w:r>
      <w:bookmarkEnd w:id="82"/>
      <w:bookmarkEnd w:id="83"/>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应按第三章“响应文件格式”进行编写，至少包括“响应文件格式”的各项内容。本比选文件要求提供的证明文件，比选申请人必须提供；本比选文件没有要求提供的证明文件，比选申请人认为需要提供的，也可以提供。</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3.1.2 响应文件应全部用不褪色的墨水（粉）书写或打印，不得有任何涂改。响应文件副本应由正本复制而成（包括证明文件）。</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3.1.3 响应文件必须用中文书写，包括正本一份、副本一份。正本和副本的封面上应清楚地标记“正本”和“副本”的字样。正副本内容应完全一致，如不一致时，以正本为准。</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84" w:name="_Toc1575"/>
      <w:bookmarkStart w:id="85" w:name="_Toc19856"/>
      <w:r>
        <w:rPr>
          <w:rFonts w:hint="eastAsia" w:ascii="仿宋_GB2312" w:eastAsia="仿宋_GB2312"/>
          <w:sz w:val="28"/>
          <w:szCs w:val="28"/>
        </w:rPr>
        <w:t>3.2 响应文件的密封和标识等要求</w:t>
      </w:r>
      <w:bookmarkEnd w:id="84"/>
      <w:bookmarkEnd w:id="85"/>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3.2.1比选申请人应在响应文件封面加盖申请单位公章；</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3.2.2 响应文件的密封与标识</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响应文件的正本与副本应一起包装，响应文件的外包装应保证其密封性。封套上应清楚地载明比选申请人的名称、项目名称等。</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注：没有按照本章3.2条要求进行密封和标识的，比选人有权根据具体情况拒绝接收比选申请人的响应文件。</w:t>
      </w:r>
    </w:p>
    <w:p>
      <w:pPr>
        <w:widowControl/>
        <w:adjustRightInd w:val="0"/>
        <w:snapToGrid w:val="0"/>
        <w:spacing w:line="360" w:lineRule="auto"/>
        <w:ind w:firstLine="560" w:firstLineChars="200"/>
        <w:jc w:val="left"/>
        <w:outlineLvl w:val="3"/>
        <w:rPr>
          <w:rFonts w:ascii="仿宋_GB2312" w:eastAsia="仿宋_GB2312"/>
          <w:sz w:val="28"/>
          <w:szCs w:val="28"/>
        </w:rPr>
      </w:pPr>
      <w:bookmarkStart w:id="86" w:name="_Toc29665"/>
      <w:bookmarkStart w:id="87" w:name="_Toc24494"/>
      <w:r>
        <w:rPr>
          <w:rFonts w:hint="eastAsia" w:ascii="仿宋_GB2312" w:eastAsia="仿宋_GB2312"/>
          <w:sz w:val="28"/>
          <w:szCs w:val="28"/>
        </w:rPr>
        <w:t>3.3响应文件的递交</w:t>
      </w:r>
      <w:bookmarkEnd w:id="86"/>
      <w:bookmarkEnd w:id="87"/>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响应文件应该在第一章中规定的响应文件递交截止时间前提交，否则比选人将拒绝接收。</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3.4 响应文件应包括但不限于：申明函、报价表、比选文件资格要求证明材料。</w:t>
      </w:r>
    </w:p>
    <w:p>
      <w:pPr>
        <w:pStyle w:val="5"/>
        <w:adjustRightInd w:val="0"/>
        <w:snapToGrid w:val="0"/>
        <w:spacing w:before="0" w:after="0" w:line="360" w:lineRule="auto"/>
      </w:pPr>
      <w:bookmarkStart w:id="88" w:name="_Toc1378"/>
      <w:bookmarkStart w:id="89" w:name="_Toc28533"/>
      <w:bookmarkStart w:id="90" w:name="_Toc12296"/>
      <w:r>
        <w:rPr>
          <w:rFonts w:hint="eastAsia"/>
        </w:rPr>
        <w:t>4、评审</w:t>
      </w:r>
      <w:bookmarkEnd w:id="88"/>
      <w:bookmarkEnd w:id="89"/>
      <w:bookmarkEnd w:id="90"/>
    </w:p>
    <w:p>
      <w:pPr>
        <w:widowControl/>
        <w:adjustRightInd w:val="0"/>
        <w:snapToGrid w:val="0"/>
        <w:spacing w:line="360" w:lineRule="auto"/>
        <w:ind w:firstLine="560" w:firstLineChars="200"/>
        <w:jc w:val="left"/>
        <w:outlineLvl w:val="3"/>
        <w:rPr>
          <w:rFonts w:ascii="仿宋_GB2312" w:eastAsia="仿宋_GB2312"/>
          <w:sz w:val="28"/>
          <w:szCs w:val="28"/>
        </w:rPr>
      </w:pPr>
      <w:bookmarkStart w:id="91" w:name="_Toc30125"/>
      <w:bookmarkStart w:id="92" w:name="_Toc22273"/>
      <w:r>
        <w:rPr>
          <w:rFonts w:hint="eastAsia" w:ascii="仿宋_GB2312" w:eastAsia="仿宋_GB2312"/>
          <w:sz w:val="28"/>
          <w:szCs w:val="28"/>
        </w:rPr>
        <w:t>4.1 评审小组的组建</w:t>
      </w:r>
      <w:bookmarkEnd w:id="91"/>
      <w:bookmarkEnd w:id="92"/>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评审工作由代理机构组建的评审小组负责，评审小组成员人数为3人（含3人）以上单数。</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4.2 比选活动在比选文件约定的地方进行。</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 比选程序</w:t>
      </w:r>
    </w:p>
    <w:p>
      <w:pPr>
        <w:widowControl/>
        <w:adjustRightInd w:val="0"/>
        <w:snapToGrid w:val="0"/>
        <w:spacing w:line="360" w:lineRule="auto"/>
        <w:ind w:firstLine="560" w:firstLineChars="200"/>
        <w:jc w:val="left"/>
        <w:outlineLvl w:val="4"/>
        <w:rPr>
          <w:rFonts w:ascii="仿宋_GB2312" w:eastAsia="仿宋_GB2312"/>
          <w:sz w:val="28"/>
          <w:szCs w:val="28"/>
        </w:rPr>
      </w:pPr>
      <w:bookmarkStart w:id="93" w:name="_Toc27278"/>
      <w:bookmarkStart w:id="94" w:name="_Toc19762"/>
      <w:r>
        <w:rPr>
          <w:rFonts w:hint="eastAsia" w:ascii="仿宋_GB2312" w:eastAsia="仿宋_GB2312"/>
          <w:sz w:val="28"/>
          <w:szCs w:val="28"/>
        </w:rPr>
        <w:t>4.3.1比选人在监督人员监督的情况下，开封所有响应文件；</w:t>
      </w:r>
      <w:bookmarkEnd w:id="93"/>
      <w:bookmarkEnd w:id="94"/>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4.3.2评审小组对响应文件进行初步审查，初审不合格的按照无效响应处理，初审具体内容如下：</w:t>
      </w:r>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是否按照比选文件要求进行签署和盖章；</w:t>
      </w:r>
    </w:p>
    <w:p>
      <w:pPr>
        <w:widowControl/>
        <w:adjustRightInd w:val="0"/>
        <w:snapToGrid w:val="0"/>
        <w:spacing w:line="360" w:lineRule="auto"/>
        <w:ind w:firstLine="560" w:firstLineChars="200"/>
        <w:jc w:val="left"/>
        <w:outlineLvl w:val="2"/>
        <w:rPr>
          <w:rFonts w:ascii="仿宋_GB2312" w:eastAsia="仿宋_GB2312"/>
          <w:sz w:val="28"/>
          <w:szCs w:val="28"/>
        </w:rPr>
      </w:pPr>
      <w:bookmarkStart w:id="95" w:name="_Toc28965"/>
      <w:bookmarkStart w:id="96" w:name="_Toc15547"/>
      <w:r>
        <w:rPr>
          <w:rFonts w:hint="eastAsia" w:ascii="仿宋_GB2312" w:eastAsia="仿宋_GB2312"/>
          <w:sz w:val="28"/>
          <w:szCs w:val="28"/>
        </w:rPr>
        <w:t>1、响应文件格式中的承诺函原件。</w:t>
      </w:r>
      <w:bookmarkEnd w:id="95"/>
      <w:bookmarkEnd w:id="96"/>
    </w:p>
    <w:p>
      <w:pPr>
        <w:widowControl/>
        <w:adjustRightInd w:val="0"/>
        <w:snapToGrid w:val="0"/>
        <w:spacing w:line="360" w:lineRule="auto"/>
        <w:ind w:firstLine="560" w:firstLineChars="200"/>
        <w:jc w:val="left"/>
        <w:outlineLvl w:val="2"/>
        <w:rPr>
          <w:rFonts w:ascii="仿宋_GB2312" w:eastAsia="仿宋_GB2312"/>
          <w:sz w:val="28"/>
          <w:szCs w:val="28"/>
        </w:rPr>
      </w:pPr>
      <w:bookmarkStart w:id="97" w:name="_Toc23209"/>
      <w:bookmarkStart w:id="98" w:name="_Toc7545"/>
      <w:r>
        <w:rPr>
          <w:rFonts w:hint="eastAsia" w:ascii="仿宋_GB2312" w:eastAsia="仿宋_GB2312"/>
          <w:sz w:val="28"/>
          <w:szCs w:val="28"/>
        </w:rPr>
        <w:t>2、具有独立承担民事责任的能力。</w:t>
      </w:r>
      <w:bookmarkEnd w:id="97"/>
      <w:bookmarkEnd w:id="98"/>
    </w:p>
    <w:p>
      <w:pPr>
        <w:widowControl/>
        <w:adjustRightInd w:val="0"/>
        <w:snapToGrid w:val="0"/>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widowControl/>
        <w:numPr>
          <w:ilvl w:val="0"/>
          <w:numId w:val="3"/>
        </w:numPr>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法定代表人身份证明书（供应商代表为法定代表人的提供）或法定代表人授权委托书（供应商代表为非法定代表人的提供）；</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、具有良好商业信誉的证明材料。</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、具有履行合同所必需的设备和专业技术能力的证明材料。</w:t>
      </w:r>
      <w:r>
        <w:rPr>
          <w:rFonts w:hint="eastAsia" w:ascii="仿宋_GB2312" w:eastAsia="仿宋_GB2312"/>
          <w:b/>
          <w:bCs/>
          <w:sz w:val="28"/>
          <w:szCs w:val="28"/>
        </w:rPr>
        <w:t>（提供承诺函）</w:t>
      </w:r>
    </w:p>
    <w:p>
      <w:pPr>
        <w:widowControl/>
        <w:adjustRightInd w:val="0"/>
        <w:snapToGrid w:val="0"/>
        <w:spacing w:line="360" w:lineRule="auto"/>
        <w:ind w:firstLine="560" w:firstLineChars="200"/>
        <w:jc w:val="left"/>
        <w:rPr>
          <w:rFonts w:ascii="仿宋_GB2312" w:eastAsia="仿宋_GB2312"/>
          <w:b/>
          <w:bCs/>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、参加本次采购活动前三年内，在经营活动中没有重大违法违规记录。</w:t>
      </w:r>
      <w:r>
        <w:rPr>
          <w:rFonts w:hint="eastAsia" w:ascii="仿宋_GB2312" w:eastAsia="仿宋_GB2312"/>
          <w:b/>
          <w:bCs/>
          <w:sz w:val="28"/>
          <w:szCs w:val="28"/>
        </w:rPr>
        <w:t>（提供承诺函）</w:t>
      </w:r>
    </w:p>
    <w:p>
      <w:pPr>
        <w:widowControl/>
        <w:adjustRightInd w:val="0"/>
        <w:snapToGrid w:val="0"/>
        <w:spacing w:line="360" w:lineRule="auto"/>
        <w:ind w:firstLine="562" w:firstLineChars="200"/>
        <w:jc w:val="left"/>
        <w:rPr>
          <w:rFonts w:ascii="仿宋_GB2312" w:eastAsia="仿宋_GB2312"/>
          <w:b/>
          <w:bCs/>
          <w:sz w:val="28"/>
          <w:szCs w:val="28"/>
        </w:rPr>
      </w:pPr>
      <w:r>
        <w:rPr>
          <w:rFonts w:ascii="仿宋_GB2312" w:eastAsia="仿宋_GB2312"/>
          <w:b/>
          <w:bCs/>
          <w:sz w:val="28"/>
          <w:szCs w:val="28"/>
        </w:rPr>
        <w:t>注</w:t>
      </w:r>
      <w:r>
        <w:rPr>
          <w:rFonts w:hint="eastAsia" w:ascii="仿宋_GB2312" w:eastAsia="仿宋_GB2312"/>
          <w:b/>
          <w:bCs/>
          <w:sz w:val="28"/>
          <w:szCs w:val="28"/>
        </w:rPr>
        <w:t>：“重大违法”是指比选申请人因违法经营受到刑事处罚或者责令停产停业、吊销许可证或者执照和较大数额罚款。</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w:t>
      </w:r>
      <w:r>
        <w:rPr>
          <w:rFonts w:hint="eastAsia" w:ascii="仿宋_GB2312" w:eastAsia="仿宋_GB2312"/>
          <w:sz w:val="28"/>
          <w:szCs w:val="28"/>
          <w:lang w:val="en-US" w:eastAsia="zh-CN"/>
        </w:rPr>
        <w:t>3</w:t>
      </w:r>
      <w:r>
        <w:rPr>
          <w:rFonts w:hint="eastAsia" w:ascii="仿宋_GB2312" w:eastAsia="仿宋_GB2312"/>
          <w:sz w:val="28"/>
          <w:szCs w:val="28"/>
        </w:rPr>
        <w:t>针对通过初步审查的申请人，评审小组按照第五章规定的评审方法进行评选。</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4.3.</w:t>
      </w:r>
      <w:r>
        <w:rPr>
          <w:rFonts w:hint="eastAsia" w:ascii="仿宋_GB2312" w:eastAsia="仿宋_GB2312"/>
          <w:sz w:val="28"/>
          <w:szCs w:val="28"/>
          <w:lang w:val="en-US" w:eastAsia="zh-CN"/>
        </w:rPr>
        <w:t>4</w:t>
      </w:r>
      <w:r>
        <w:rPr>
          <w:rFonts w:hint="eastAsia" w:ascii="仿宋_GB2312" w:eastAsia="仿宋_GB2312"/>
          <w:sz w:val="28"/>
          <w:szCs w:val="28"/>
        </w:rPr>
        <w:t>评审小组根据综合评分情况，由高到低进行排序，排名第一名的比选申请人为中选人。综合评分名次并列者，由比选人综合考量其他服务能力后自行确定中选人。</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4.4 评审小组有权对响应文件提出澄清，比选申请人应予以配合，若不予以配合的，按无效响应处理。</w:t>
      </w:r>
    </w:p>
    <w:p>
      <w:pPr>
        <w:widowControl/>
        <w:adjustRightInd w:val="0"/>
        <w:snapToGrid w:val="0"/>
        <w:spacing w:line="360" w:lineRule="auto"/>
        <w:ind w:firstLine="560" w:firstLineChars="200"/>
        <w:jc w:val="left"/>
        <w:outlineLvl w:val="3"/>
        <w:rPr>
          <w:rFonts w:eastAsia="仿宋_GB2312"/>
        </w:rPr>
      </w:pPr>
      <w:bookmarkStart w:id="99" w:name="_Toc24276"/>
      <w:bookmarkStart w:id="100" w:name="_Toc30819"/>
      <w:r>
        <w:rPr>
          <w:rFonts w:hint="eastAsia" w:ascii="仿宋_GB2312" w:eastAsia="仿宋_GB2312"/>
          <w:sz w:val="28"/>
          <w:szCs w:val="28"/>
        </w:rPr>
        <w:t>4.5 比选人应当对比选申请人报送的响应文件内容保密。</w:t>
      </w:r>
      <w:bookmarkEnd w:id="99"/>
      <w:bookmarkEnd w:id="100"/>
    </w:p>
    <w:p>
      <w:pPr>
        <w:pStyle w:val="5"/>
        <w:adjustRightInd w:val="0"/>
        <w:snapToGrid w:val="0"/>
        <w:spacing w:before="0" w:after="0" w:line="360" w:lineRule="auto"/>
      </w:pPr>
      <w:bookmarkStart w:id="101" w:name="_Toc31662"/>
      <w:bookmarkStart w:id="102" w:name="_Toc21988"/>
      <w:bookmarkStart w:id="103" w:name="_Toc10089"/>
      <w:r>
        <w:rPr>
          <w:rFonts w:hint="eastAsia"/>
        </w:rPr>
        <w:t>5、中选</w:t>
      </w:r>
      <w:bookmarkEnd w:id="101"/>
      <w:bookmarkEnd w:id="102"/>
      <w:bookmarkEnd w:id="103"/>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比选人应当确定综合评分最高（排名</w:t>
      </w:r>
      <w:r>
        <w:rPr>
          <w:rFonts w:hint="eastAsia" w:ascii="仿宋_GB2312" w:eastAsia="仿宋_GB2312"/>
          <w:bCs/>
          <w:sz w:val="28"/>
          <w:szCs w:val="28"/>
        </w:rPr>
        <w:t>第一名，综合评分</w:t>
      </w:r>
      <w:r>
        <w:rPr>
          <w:rFonts w:hint="eastAsia" w:ascii="仿宋_GB2312" w:eastAsia="仿宋_GB2312"/>
          <w:sz w:val="28"/>
          <w:szCs w:val="28"/>
        </w:rPr>
        <w:t>由高到低）的申请人为中选人。中选人主动放弃中选或因不可抗力提出不能履行合同的，比选人可以按</w:t>
      </w:r>
      <w:r>
        <w:rPr>
          <w:rFonts w:hint="eastAsia" w:ascii="仿宋_GB2312" w:eastAsia="仿宋_GB2312"/>
          <w:bCs/>
          <w:sz w:val="28"/>
          <w:szCs w:val="28"/>
        </w:rPr>
        <w:t>综合评分得分</w:t>
      </w:r>
      <w:r>
        <w:rPr>
          <w:rFonts w:hint="eastAsia" w:ascii="仿宋_GB2312" w:eastAsia="仿宋_GB2312"/>
          <w:sz w:val="28"/>
          <w:szCs w:val="28"/>
        </w:rPr>
        <w:t>高低顺序依次替补。比选人将向中选人发出中选通知书。</w:t>
      </w:r>
    </w:p>
    <w:p>
      <w:pPr>
        <w:pStyle w:val="5"/>
        <w:adjustRightInd w:val="0"/>
        <w:snapToGrid w:val="0"/>
        <w:spacing w:before="0" w:after="0" w:line="360" w:lineRule="auto"/>
      </w:pPr>
      <w:bookmarkStart w:id="104" w:name="_Toc7153"/>
      <w:bookmarkStart w:id="105" w:name="_Toc26989"/>
      <w:bookmarkStart w:id="106" w:name="_Toc30076"/>
      <w:r>
        <w:rPr>
          <w:rFonts w:hint="eastAsia"/>
        </w:rPr>
        <w:t>6、签订合同</w:t>
      </w:r>
      <w:bookmarkEnd w:id="104"/>
      <w:bookmarkEnd w:id="105"/>
      <w:bookmarkEnd w:id="106"/>
    </w:p>
    <w:p>
      <w:pPr>
        <w:widowControl/>
        <w:adjustRightInd w:val="0"/>
        <w:snapToGrid w:val="0"/>
        <w:spacing w:line="360" w:lineRule="auto"/>
        <w:ind w:firstLine="560" w:firstLineChars="200"/>
        <w:jc w:val="left"/>
        <w:rPr>
          <w:rFonts w:ascii="仿宋_GB2312" w:eastAsia="仿宋_GB2312"/>
          <w:bCs/>
          <w:sz w:val="28"/>
          <w:szCs w:val="28"/>
        </w:rPr>
      </w:pPr>
      <w:r>
        <w:rPr>
          <w:rFonts w:hint="eastAsia" w:ascii="仿宋_GB2312" w:eastAsia="仿宋_GB2312"/>
          <w:bCs/>
          <w:sz w:val="28"/>
          <w:szCs w:val="28"/>
        </w:rPr>
        <w:t>比选人将在中选通知书发出之日起3个工作日内，签订书面《</w:t>
      </w:r>
      <w:r>
        <w:rPr>
          <w:rFonts w:hint="eastAsia" w:ascii="仿宋_GB2312" w:eastAsia="仿宋_GB2312"/>
          <w:bCs/>
          <w:sz w:val="28"/>
          <w:szCs w:val="28"/>
          <w:lang w:eastAsia="zh-CN"/>
        </w:rPr>
        <w:t>服务</w:t>
      </w:r>
      <w:r>
        <w:rPr>
          <w:rFonts w:hint="eastAsia" w:ascii="仿宋_GB2312" w:eastAsia="仿宋_GB2312"/>
          <w:bCs/>
          <w:sz w:val="28"/>
          <w:szCs w:val="28"/>
        </w:rPr>
        <w:t>合同》。</w:t>
      </w:r>
    </w:p>
    <w:p>
      <w:pPr>
        <w:widowControl/>
        <w:adjustRightInd w:val="0"/>
        <w:snapToGrid w:val="0"/>
        <w:spacing w:line="360" w:lineRule="auto"/>
        <w:ind w:firstLine="562" w:firstLineChars="200"/>
        <w:jc w:val="left"/>
        <w:rPr>
          <w:rFonts w:ascii="仿宋_GB2312" w:eastAsia="仿宋_GB2312"/>
          <w:b/>
          <w:sz w:val="28"/>
          <w:szCs w:val="28"/>
        </w:rPr>
      </w:pPr>
    </w:p>
    <w:p>
      <w:pPr>
        <w:pStyle w:val="2"/>
        <w:snapToGrid w:val="0"/>
        <w:spacing w:line="240" w:lineRule="auto"/>
        <w:jc w:val="center"/>
        <w:rPr>
          <w:rFonts w:ascii="仿宋_GB2312" w:eastAsia="仿宋_GB2312"/>
          <w:sz w:val="28"/>
          <w:szCs w:val="28"/>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ascii="仿宋_GB2312" w:eastAsia="仿宋_GB2312"/>
          <w:sz w:val="28"/>
          <w:szCs w:val="28"/>
        </w:rPr>
        <w:br w:type="page"/>
      </w:r>
    </w:p>
    <w:p>
      <w:pPr>
        <w:pStyle w:val="2"/>
        <w:spacing w:before="0" w:after="0" w:line="480" w:lineRule="auto"/>
        <w:jc w:val="center"/>
        <w:rPr>
          <w:rFonts w:ascii="仿宋" w:hAnsi="仿宋" w:eastAsia="仿宋" w:cs="仿宋"/>
          <w:color w:val="000000"/>
          <w:kern w:val="0"/>
          <w:sz w:val="28"/>
          <w:szCs w:val="28"/>
        </w:rPr>
      </w:pPr>
      <w:bookmarkStart w:id="107" w:name="_Toc27269"/>
      <w:r>
        <w:rPr>
          <w:rFonts w:hint="eastAsia" w:ascii="华文中宋" w:hAnsi="华文中宋" w:eastAsia="华文中宋"/>
        </w:rPr>
        <w:t>第三章  项目需求</w:t>
      </w:r>
      <w:bookmarkEnd w:id="107"/>
    </w:p>
    <w:p>
      <w:pPr>
        <w:pStyle w:val="3"/>
        <w:numPr>
          <w:ilvl w:val="0"/>
          <w:numId w:val="4"/>
        </w:numPr>
        <w:spacing w:before="0" w:after="0" w:line="360" w:lineRule="auto"/>
        <w:rPr>
          <w:rFonts w:ascii="仿宋" w:hAnsi="仿宋" w:eastAsia="仿宋" w:cs="宋体"/>
          <w:color w:val="000000" w:themeColor="text1"/>
          <w14:textFill>
            <w14:solidFill>
              <w14:schemeClr w14:val="tx1"/>
            </w14:solidFill>
          </w14:textFill>
        </w:rPr>
      </w:pPr>
      <w:bookmarkStart w:id="108" w:name="_Toc23441"/>
      <w:r>
        <w:rPr>
          <w:rFonts w:hint="eastAsia" w:ascii="仿宋" w:hAnsi="仿宋" w:eastAsia="仿宋" w:cs="宋体"/>
          <w:color w:val="000000" w:themeColor="text1"/>
          <w:lang w:eastAsia="zh-CN"/>
          <w14:textFill>
            <w14:solidFill>
              <w14:schemeClr w14:val="tx1"/>
            </w14:solidFill>
          </w14:textFill>
        </w:rPr>
        <w:t>总体</w:t>
      </w:r>
      <w:r>
        <w:rPr>
          <w:rFonts w:hint="eastAsia" w:ascii="仿宋" w:hAnsi="仿宋" w:eastAsia="仿宋" w:cs="宋体"/>
          <w:color w:val="000000" w:themeColor="text1"/>
          <w14:textFill>
            <w14:solidFill>
              <w14:schemeClr w14:val="tx1"/>
            </w14:solidFill>
          </w14:textFill>
        </w:rPr>
        <w:t>要求</w:t>
      </w:r>
      <w:bookmarkEnd w:id="108"/>
    </w:p>
    <w:tbl>
      <w:tblPr>
        <w:tblStyle w:val="24"/>
        <w:tblW w:w="8376" w:type="dxa"/>
        <w:jc w:val="center"/>
        <w:tblInd w:w="0" w:type="dxa"/>
        <w:tblLayout w:type="fixed"/>
        <w:tblCellMar>
          <w:top w:w="0" w:type="dxa"/>
          <w:left w:w="108" w:type="dxa"/>
          <w:bottom w:w="0" w:type="dxa"/>
          <w:right w:w="108" w:type="dxa"/>
        </w:tblCellMar>
      </w:tblPr>
      <w:tblGrid>
        <w:gridCol w:w="771"/>
        <w:gridCol w:w="1051"/>
        <w:gridCol w:w="6554"/>
      </w:tblGrid>
      <w:tr>
        <w:tblPrEx>
          <w:tblLayout w:type="fixed"/>
          <w:tblCellMar>
            <w:top w:w="0" w:type="dxa"/>
            <w:left w:w="108" w:type="dxa"/>
            <w:bottom w:w="0" w:type="dxa"/>
            <w:right w:w="108" w:type="dxa"/>
          </w:tblCellMar>
        </w:tblPrEx>
        <w:trPr>
          <w:trHeight w:val="34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服务</w:t>
            </w:r>
            <w:r>
              <w:rPr>
                <w:rFonts w:hint="eastAsia" w:ascii="仿宋" w:hAnsi="仿宋" w:eastAsia="仿宋" w:cs="仿宋"/>
                <w:color w:val="000000" w:themeColor="text1"/>
                <w:kern w:val="0"/>
                <w:sz w:val="24"/>
                <w:szCs w:val="24"/>
                <w:lang w:bidi="ar"/>
                <w14:textFill>
                  <w14:solidFill>
                    <w14:schemeClr w14:val="tx1"/>
                  </w14:solidFill>
                </w14:textFill>
              </w:rPr>
              <w:t>名称</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具体内容</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运营资质与合规性</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合法资质：承包方需具备合法的运营资质，包括营业执照、托育服务许可证等，并符合国家和地方的相关法律法规。</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合规运营：确保托育中心的运营符合《托育机构设置标准》、《托育机构管理办法》等政策要求，定期接受相关部门的检查和评估。</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安全管理</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安全制度：建立完善的安全管理制度，包括消防安全、食品安全、卫生防疫、突发事件应急预案等。</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安全设施：确保托育中心的安全设施齐全，如监控系统、消防设备、急救设备等，并定期进行检查和维护。</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安全培训：定期对员工进行安全培训，确保其掌握急救技能、消防知识等，能够应对突发事件。</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师资力量</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人员配置：为本项目至少配置1名园长，1名副园长，1名老师，2名保育员。</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auto"/>
                <w:sz w:val="24"/>
                <w:szCs w:val="24"/>
              </w:rPr>
              <w:t>★</w:t>
            </w:r>
            <w:r>
              <w:rPr>
                <w:rFonts w:hint="eastAsia" w:ascii="仿宋" w:hAnsi="仿宋" w:eastAsia="仿宋" w:cs="仿宋"/>
                <w:color w:val="000000"/>
                <w:kern w:val="0"/>
                <w:sz w:val="24"/>
                <w:szCs w:val="24"/>
                <w:lang w:val="en-US" w:eastAsia="zh-CN" w:bidi="ar"/>
              </w:rPr>
              <w:t>教师资质：确保所有教师具备相关资质，如教师资格证、育婴师证、早期教育指导师证、园长岗位资格培训合格证、从业人员健康证等，并定期进行专业培训。（标书内提供相关证书复印件并盖章）</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业技能：婴幼儿照护技能（要求教师具备婴幼儿日常护理、喂养、卫生保健等技能）早期教育能力（教师应掌握0-3岁婴幼儿的早期发展规律，能设计和实施适合婴幼儿的早教活动）急救技能（教师应具备基本的急救知识和技能，如心肺复苏、choking急救等）</w:t>
            </w:r>
          </w:p>
          <w:p>
            <w:pPr>
              <w:keepNext w:val="0"/>
              <w:keepLines w:val="0"/>
              <w:widowControl/>
              <w:suppressLineNumbers w:val="0"/>
              <w:jc w:val="left"/>
              <w:rPr>
                <w:rFonts w:hint="default" w:ascii="仿宋" w:hAnsi="仿宋" w:eastAsia="仿宋" w:cs="仿宋"/>
                <w:color w:val="FF0000"/>
                <w:kern w:val="0"/>
                <w:sz w:val="24"/>
                <w:szCs w:val="24"/>
                <w:lang w:val="en-US" w:eastAsia="zh-CN" w:bidi="ar"/>
              </w:rPr>
            </w:pPr>
            <w:r>
              <w:rPr>
                <w:rFonts w:hint="eastAsia" w:ascii="仿宋" w:hAnsi="仿宋" w:eastAsia="仿宋" w:cs="仿宋"/>
                <w:color w:val="000000"/>
                <w:kern w:val="0"/>
                <w:sz w:val="24"/>
                <w:szCs w:val="24"/>
                <w:lang w:val="en-US" w:eastAsia="zh-CN" w:bidi="ar"/>
              </w:rPr>
              <w:t>师生比例：严格按照《托育机构设置标准》配置配备师生比例，确保每个婴幼儿都能得到充分的照顾和关注。</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职业道德：要求教师具备高度的责任心和爱心，能够耐心、细致地照顾婴幼儿，并与家长保持良好的沟通。</w:t>
            </w:r>
          </w:p>
        </w:tc>
      </w:tr>
      <w:tr>
        <w:tblPrEx>
          <w:tblLayout w:type="fixed"/>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服务质量</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服务标准：制定明确的服务标准，包括日常照护、早期教育、健康监测、家长沟通等，确保服务质量达到预期水平。</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个性化服务：根据婴幼儿的个体差异，提供个性化的照护和教育方案，促进其全面发展。</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家长满意度：定期进行家长满意度调查，及时了解家长的需求和意见，并不断改进服务质量。</w:t>
            </w:r>
          </w:p>
        </w:tc>
      </w:tr>
      <w:tr>
        <w:tblPrEx>
          <w:tblLayout w:type="fixed"/>
          <w:tblCellMar>
            <w:top w:w="0" w:type="dxa"/>
            <w:left w:w="108" w:type="dxa"/>
            <w:bottom w:w="0" w:type="dxa"/>
            <w:right w:w="108" w:type="dxa"/>
          </w:tblCellMar>
        </w:tblPrEx>
        <w:trPr>
          <w:trHeight w:val="64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szCs w:val="24"/>
                <w:lang w:val="en-US" w:eastAsia="zh-CN" w:bidi="ar"/>
              </w:rPr>
            </w:pPr>
            <w:bookmarkStart w:id="109" w:name="_Toc17066"/>
            <w:r>
              <w:rPr>
                <w:rFonts w:hint="eastAsia" w:ascii="仿宋" w:hAnsi="仿宋" w:eastAsia="仿宋" w:cs="仿宋"/>
                <w:color w:val="000000"/>
                <w:kern w:val="0"/>
                <w:sz w:val="24"/>
                <w:szCs w:val="24"/>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健康与卫生管理</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卫生制度：建立严格的卫生管理制度，确保托育中心的环境卫生、食品安全、个人卫生等符合标准。</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健康监测：定期对婴幼儿进行健康检查，建立健康档案，及时发现和处理健康问题。</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防疫措施：严格执行卫生防疫措施，特别是在传染病高发季节，确保婴幼儿的健康安全。</w:t>
            </w:r>
          </w:p>
        </w:tc>
      </w:tr>
    </w:tbl>
    <w:p>
      <w:pPr>
        <w:pStyle w:val="3"/>
        <w:numPr>
          <w:ilvl w:val="0"/>
          <w:numId w:val="4"/>
        </w:numPr>
        <w:spacing w:before="0" w:after="0"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商务及服务要求</w:t>
      </w:r>
      <w:bookmarkEnd w:id="109"/>
    </w:p>
    <w:p>
      <w:pPr>
        <w:spacing w:line="360" w:lineRule="auto"/>
        <w:ind w:firstLine="480" w:firstLineChars="200"/>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1</w:t>
      </w:r>
      <w:r>
        <w:rPr>
          <w:rFonts w:ascii="仿宋" w:hAnsi="仿宋" w:eastAsia="仿宋" w:cs="宋体"/>
          <w:bCs/>
          <w:color w:val="000000" w:themeColor="text1"/>
          <w:sz w:val="24"/>
          <w:lang w:val="zh-CN"/>
          <w14:textFill>
            <w14:solidFill>
              <w14:schemeClr w14:val="tx1"/>
            </w14:solidFill>
          </w14:textFill>
        </w:rPr>
        <w:t>.</w:t>
      </w:r>
      <w:r>
        <w:rPr>
          <w:rFonts w:hint="eastAsia" w:ascii="仿宋" w:hAnsi="仿宋" w:eastAsia="仿宋" w:cs="宋体"/>
          <w:bCs/>
          <w:color w:val="000000" w:themeColor="text1"/>
          <w:sz w:val="24"/>
          <w:lang w:val="zh-CN"/>
          <w14:textFill>
            <w14:solidFill>
              <w14:schemeClr w14:val="tx1"/>
            </w14:solidFill>
          </w14:textFill>
        </w:rPr>
        <w:t>合同签订时效：成交供应商应在中标通知书发出之日起十日内与采购人签订采购合同。</w:t>
      </w:r>
    </w:p>
    <w:p>
      <w:pPr>
        <w:spacing w:line="360" w:lineRule="auto"/>
        <w:ind w:firstLine="482" w:firstLineChars="200"/>
        <w:rPr>
          <w:rFonts w:ascii="仿宋" w:hAnsi="仿宋" w:eastAsia="仿宋" w:cs="宋体"/>
          <w:bCs/>
          <w:color w:val="auto"/>
          <w:sz w:val="24"/>
          <w:lang w:val="zh-CN"/>
        </w:rPr>
      </w:pPr>
      <w:r>
        <w:rPr>
          <w:rFonts w:hint="eastAsia"/>
          <w:b/>
          <w:color w:val="auto"/>
          <w:sz w:val="24"/>
          <w:szCs w:val="24"/>
        </w:rPr>
        <w:t>★</w:t>
      </w:r>
      <w:r>
        <w:rPr>
          <w:rFonts w:hint="eastAsia" w:ascii="仿宋" w:hAnsi="仿宋" w:eastAsia="仿宋" w:cs="宋体"/>
          <w:bCs/>
          <w:color w:val="auto"/>
          <w:sz w:val="24"/>
          <w:lang w:val="zh-CN"/>
        </w:rPr>
        <w:t>2</w:t>
      </w:r>
      <w:r>
        <w:rPr>
          <w:rFonts w:ascii="仿宋" w:hAnsi="仿宋" w:eastAsia="仿宋" w:cs="宋体"/>
          <w:bCs/>
          <w:color w:val="auto"/>
          <w:sz w:val="24"/>
          <w:lang w:val="zh-CN"/>
        </w:rPr>
        <w:t>.</w:t>
      </w:r>
      <w:r>
        <w:rPr>
          <w:rFonts w:hint="eastAsia" w:ascii="仿宋" w:hAnsi="仿宋" w:eastAsia="仿宋" w:cs="宋体"/>
          <w:bCs/>
          <w:color w:val="auto"/>
          <w:sz w:val="24"/>
          <w:lang w:val="zh-CN"/>
        </w:rPr>
        <w:t>付款方式：合同签订后，</w:t>
      </w:r>
      <w:r>
        <w:rPr>
          <w:rFonts w:hint="eastAsia" w:ascii="仿宋" w:hAnsi="仿宋" w:eastAsia="仿宋" w:cs="宋体"/>
          <w:bCs/>
          <w:color w:val="auto"/>
          <w:sz w:val="24"/>
          <w:lang w:val="en-US" w:eastAsia="zh-CN"/>
        </w:rPr>
        <w:t>分十二期支付等额支付（具体支付金额以合同约定为准）</w:t>
      </w:r>
      <w:r>
        <w:rPr>
          <w:rFonts w:hint="eastAsia" w:ascii="仿宋" w:hAnsi="仿宋" w:eastAsia="仿宋" w:cs="宋体"/>
          <w:bCs/>
          <w:color w:val="auto"/>
          <w:sz w:val="24"/>
          <w:lang w:val="zh-CN"/>
        </w:rPr>
        <w:t>。</w:t>
      </w:r>
    </w:p>
    <w:p>
      <w:pPr>
        <w:spacing w:line="360" w:lineRule="auto"/>
        <w:ind w:firstLine="480" w:firstLineChars="200"/>
        <w:rPr>
          <w:rFonts w:hint="eastAsia" w:ascii="仿宋" w:hAnsi="仿宋" w:eastAsia="仿宋" w:cs="宋体"/>
          <w:bCs/>
          <w:color w:val="auto"/>
          <w:sz w:val="24"/>
          <w:lang w:val="zh-CN"/>
        </w:rPr>
      </w:pPr>
      <w:r>
        <w:rPr>
          <w:rFonts w:ascii="仿宋" w:hAnsi="仿宋" w:eastAsia="仿宋" w:cs="宋体"/>
          <w:bCs/>
          <w:color w:val="auto"/>
          <w:sz w:val="24"/>
          <w:lang w:val="zh-CN"/>
        </w:rPr>
        <w:t>3.</w:t>
      </w:r>
      <w:r>
        <w:rPr>
          <w:rFonts w:hint="eastAsia" w:ascii="仿宋" w:hAnsi="仿宋" w:eastAsia="仿宋" w:cs="宋体"/>
          <w:bCs/>
          <w:color w:val="auto"/>
          <w:sz w:val="24"/>
          <w:lang w:val="zh-CN"/>
        </w:rPr>
        <w:t>服务地点：采购人指定地点</w:t>
      </w:r>
      <w:bookmarkStart w:id="110" w:name="_Toc32465"/>
      <w:r>
        <w:rPr>
          <w:rFonts w:hint="eastAsia" w:ascii="仿宋" w:hAnsi="仿宋" w:eastAsia="仿宋" w:cs="宋体"/>
          <w:bCs/>
          <w:color w:val="auto"/>
          <w:sz w:val="24"/>
          <w:lang w:val="zh-CN"/>
        </w:rPr>
        <w:t>；</w:t>
      </w:r>
    </w:p>
    <w:p>
      <w:pPr>
        <w:spacing w:line="360" w:lineRule="auto"/>
        <w:ind w:firstLine="480" w:firstLineChars="200"/>
        <w:rPr>
          <w:rFonts w:ascii="仿宋" w:hAnsi="仿宋" w:eastAsia="仿宋" w:cs="宋体"/>
          <w:bCs/>
          <w:color w:val="auto"/>
          <w:sz w:val="24"/>
          <w:lang w:val="zh-CN"/>
        </w:rPr>
      </w:pPr>
      <w:r>
        <w:rPr>
          <w:rFonts w:hint="eastAsia" w:ascii="仿宋" w:hAnsi="仿宋" w:eastAsia="仿宋" w:cs="宋体"/>
          <w:bCs/>
          <w:color w:val="auto"/>
          <w:sz w:val="24"/>
          <w:lang w:val="en-US" w:eastAsia="zh-CN"/>
        </w:rPr>
        <w:t>4.</w:t>
      </w:r>
      <w:r>
        <w:rPr>
          <w:rFonts w:hint="eastAsia" w:ascii="仿宋" w:hAnsi="仿宋" w:eastAsia="仿宋" w:cs="宋体"/>
          <w:bCs/>
          <w:color w:val="auto"/>
          <w:sz w:val="24"/>
          <w:lang w:val="zh-CN"/>
        </w:rPr>
        <w:t>服务时间：</w:t>
      </w:r>
      <w:r>
        <w:rPr>
          <w:rFonts w:hint="eastAsia" w:ascii="仿宋" w:hAnsi="仿宋" w:eastAsia="仿宋" w:cs="宋体"/>
          <w:bCs/>
          <w:color w:val="auto"/>
          <w:sz w:val="24"/>
          <w:lang w:val="en-US" w:eastAsia="zh-CN"/>
        </w:rPr>
        <w:t>合同签订之日起1年</w:t>
      </w:r>
      <w:r>
        <w:rPr>
          <w:rFonts w:hint="eastAsia" w:ascii="仿宋" w:hAnsi="仿宋" w:eastAsia="仿宋" w:cs="宋体"/>
          <w:bCs/>
          <w:color w:val="auto"/>
          <w:sz w:val="24"/>
          <w:lang w:val="zh-CN"/>
        </w:rPr>
        <w:t>。</w:t>
      </w:r>
    </w:p>
    <w:p>
      <w:pPr>
        <w:spacing w:line="360" w:lineRule="auto"/>
        <w:ind w:firstLine="482" w:firstLineChars="200"/>
        <w:rPr>
          <w:rFonts w:hint="default" w:ascii="仿宋" w:hAnsi="仿宋" w:eastAsia="仿宋" w:cs="宋体"/>
          <w:bCs/>
          <w:color w:val="auto"/>
          <w:sz w:val="24"/>
          <w:lang w:val="en-US" w:eastAsia="zh-CN"/>
        </w:rPr>
      </w:pPr>
      <w:r>
        <w:rPr>
          <w:rFonts w:hint="eastAsia"/>
          <w:b/>
          <w:color w:val="auto"/>
          <w:sz w:val="24"/>
          <w:szCs w:val="24"/>
        </w:rPr>
        <w:t>★</w:t>
      </w:r>
      <w:r>
        <w:rPr>
          <w:rFonts w:hint="eastAsia" w:ascii="仿宋" w:hAnsi="仿宋" w:eastAsia="仿宋" w:cs="宋体"/>
          <w:bCs/>
          <w:color w:val="auto"/>
          <w:sz w:val="24"/>
          <w:lang w:val="en-US" w:eastAsia="zh-CN"/>
        </w:rPr>
        <w:t>5.验收方式：根据实际运行情况，每月考核。</w:t>
      </w:r>
    </w:p>
    <w:p>
      <w:pPr>
        <w:spacing w:line="360" w:lineRule="auto"/>
        <w:rPr>
          <w:rFonts w:ascii="仿宋" w:hAnsi="仿宋" w:eastAsia="仿宋" w:cs="宋体"/>
          <w:b/>
          <w:bCs/>
          <w:color w:val="000000" w:themeColor="text1"/>
          <w:kern w:val="0"/>
          <w:sz w:val="32"/>
          <w:szCs w:val="32"/>
          <w:lang w:val="zh-CN"/>
          <w14:textFill>
            <w14:solidFill>
              <w14:schemeClr w14:val="tx1"/>
            </w14:solidFill>
          </w14:textFill>
        </w:rPr>
      </w:pPr>
      <w:r>
        <w:rPr>
          <w:rFonts w:hint="eastAsia" w:ascii="仿宋" w:hAnsi="仿宋" w:eastAsia="仿宋" w:cs="宋体"/>
          <w:b/>
          <w:bCs/>
          <w:color w:val="000000" w:themeColor="text1"/>
          <w:kern w:val="0"/>
          <w:sz w:val="32"/>
          <w:szCs w:val="32"/>
          <w:lang w:val="zh-CN"/>
          <w14:textFill>
            <w14:solidFill>
              <w14:schemeClr w14:val="tx1"/>
            </w14:solidFill>
          </w14:textFill>
        </w:rPr>
        <w:t>四、实施和售后服务方案</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供应商</w:t>
      </w:r>
      <w:r>
        <w:rPr>
          <w:rFonts w:hint="eastAsia" w:ascii="仿宋" w:hAnsi="仿宋" w:eastAsia="仿宋" w:cs="宋体"/>
          <w:bCs/>
          <w:color w:val="000000" w:themeColor="text1"/>
          <w:sz w:val="24"/>
          <w:lang w:eastAsia="zh-CN"/>
          <w14:textFill>
            <w14:solidFill>
              <w14:schemeClr w14:val="tx1"/>
            </w14:solidFill>
          </w14:textFill>
        </w:rPr>
        <w:t>应</w:t>
      </w:r>
      <w:r>
        <w:rPr>
          <w:rFonts w:hint="eastAsia" w:ascii="仿宋" w:hAnsi="仿宋" w:eastAsia="仿宋" w:cs="宋体"/>
          <w:bCs/>
          <w:color w:val="000000" w:themeColor="text1"/>
          <w:sz w:val="24"/>
          <w14:textFill>
            <w14:solidFill>
              <w14:schemeClr w14:val="tx1"/>
            </w14:solidFill>
          </w14:textFill>
        </w:rPr>
        <w:t>针对本项目提供切实可行的实施和售后服务方案。</w:t>
      </w:r>
    </w:p>
    <w:bookmarkEnd w:id="110"/>
    <w:p>
      <w:pPr>
        <w:spacing w:line="360" w:lineRule="auto"/>
        <w:rPr>
          <w:rFonts w:hint="eastAsia" w:ascii="仿宋_GB2312" w:eastAsia="仿宋_GB2312"/>
          <w:b/>
          <w:bCs/>
          <w:sz w:val="32"/>
          <w:szCs w:val="32"/>
        </w:rPr>
      </w:pPr>
      <w:r>
        <w:rPr>
          <w:rFonts w:hint="eastAsia"/>
          <w:b/>
          <w:color w:val="auto"/>
          <w:sz w:val="24"/>
          <w:szCs w:val="24"/>
        </w:rPr>
        <w:t>★</w:t>
      </w:r>
      <w:r>
        <w:rPr>
          <w:rFonts w:hint="eastAsia" w:ascii="仿宋" w:hAnsi="仿宋" w:eastAsia="仿宋" w:cs="宋体"/>
          <w:b/>
          <w:bCs/>
          <w:color w:val="000000" w:themeColor="text1"/>
          <w:kern w:val="0"/>
          <w:sz w:val="32"/>
          <w:szCs w:val="32"/>
          <w:lang w:val="zh-CN" w:eastAsia="zh-CN"/>
          <w14:textFill>
            <w14:solidFill>
              <w14:schemeClr w14:val="tx1"/>
            </w14:solidFill>
          </w14:textFill>
        </w:rPr>
        <w:t>五、</w:t>
      </w:r>
      <w:r>
        <w:rPr>
          <w:rFonts w:hint="eastAsia" w:ascii="仿宋" w:hAnsi="仿宋" w:eastAsia="仿宋" w:cs="宋体"/>
          <w:b/>
          <w:bCs/>
          <w:color w:val="000000" w:themeColor="text1"/>
          <w:kern w:val="0"/>
          <w:sz w:val="32"/>
          <w:szCs w:val="32"/>
          <w:lang w:val="zh-CN"/>
          <w14:textFill>
            <w14:solidFill>
              <w14:schemeClr w14:val="tx1"/>
            </w14:solidFill>
          </w14:textFill>
        </w:rPr>
        <w:t>汉源县托育中心考核制度</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一、总则</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（一）考核目的：强化托育中心规范化管理，提托管质量，规范教职工行为，激励教职工不断提升专业素养和托管能力，达到“医、育”结合，保障群众利益，有效服务群众。</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（二）考核对象：汉源县托育中心管理团队。</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（三）考核原则：遵循公平、公正、公开原则，对托育中心运行效率整体评价，教职工日常工作进行考核，定期评估，全面、客观地评价师资团队运行效率。 </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二、考核内容</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（一）园区管理</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1.环境建设达到托育中心规范要求，配置相应的保教设施，营造温馨、舒适、安全的保教环境。</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2.制定管理制度，符合托育中心管理元素，有效促进托育中心发展，激励职工干事创业，约束不良行为，保障园区有序运行。</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3.招生计划和宣传符合国家法律规定，确保生源达到要求。</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（二）运行管理</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保教工作:教案撰写完整、目标明确、内容丰富、方法得当，符合0-3岁儿童生长发育特点。</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2.课堂管理：秩序良好，能运用多种方法激发幼儿兴趣，关注个体活动情况，记录完整，实时上传到平台。</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3.安全管理：定期检查安全设施，定期开展应急演练，活动组织过程中安全防护得当，安全事故一票否决。</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三、家校互动</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（一）采取有效措施，让适龄儿童家长充分了解托育中心。</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（二）能够高效运用信息化系统。</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（三）定期开展家长课堂，传递健康知识，能够对产前、产中、产后适龄妇女有效沟通，实时邀请准妈妈体验托育项目。</w:t>
      </w:r>
    </w:p>
    <w:p>
      <w:pPr>
        <w:spacing w:line="360" w:lineRule="auto"/>
        <w:ind w:firstLine="480" w:firstLineChars="200"/>
        <w:rPr>
          <w:rFonts w:hint="eastAsia"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（四）社会满意度达80%以上。</w:t>
      </w:r>
    </w:p>
    <w:p>
      <w:pPr>
        <w:spacing w:line="360" w:lineRule="auto"/>
        <w:ind w:firstLine="482" w:firstLineChars="200"/>
        <w:rPr>
          <w:b/>
          <w:color w:val="auto"/>
          <w:sz w:val="24"/>
          <w:szCs w:val="24"/>
        </w:rPr>
      </w:pPr>
      <w:r>
        <w:rPr>
          <w:rFonts w:hint="eastAsia"/>
          <w:b/>
          <w:color w:val="auto"/>
          <w:sz w:val="24"/>
          <w:szCs w:val="24"/>
        </w:rPr>
        <w:t>注：以上打“★”项的为本次采购项目的实质性要求，供应商须全部满足，若不满足或不响应，做无效响应文件处理。</w:t>
      </w:r>
    </w:p>
    <w:p>
      <w:pPr>
        <w:spacing w:before="0" w:after="0" w:line="480" w:lineRule="auto"/>
        <w:ind w:firstLine="630" w:firstLineChars="300"/>
        <w:jc w:val="both"/>
        <w:outlineLvl w:val="9"/>
        <w:rPr>
          <w:rFonts w:hint="eastAsia" w:ascii="华文中宋" w:hAnsi="华文中宋" w:eastAsia="华文中宋"/>
        </w:rPr>
      </w:pPr>
      <w:bookmarkStart w:id="111" w:name="_Toc30814"/>
    </w:p>
    <w:p>
      <w:pPr>
        <w:rPr>
          <w:rFonts w:hint="eastAsia" w:ascii="华文中宋" w:hAnsi="华文中宋" w:eastAsia="华文中宋"/>
        </w:rPr>
      </w:pPr>
      <w:r>
        <w:rPr>
          <w:rFonts w:hint="eastAsia" w:ascii="华文中宋" w:hAnsi="华文中宋" w:eastAsia="华文中宋"/>
        </w:rPr>
        <w:br w:type="page"/>
      </w:r>
    </w:p>
    <w:p>
      <w:pPr>
        <w:pStyle w:val="2"/>
        <w:spacing w:before="0" w:after="0" w:line="480" w:lineRule="auto"/>
        <w:ind w:firstLine="1321" w:firstLineChars="300"/>
        <w:jc w:val="both"/>
        <w:rPr>
          <w:rFonts w:ascii="华文中宋" w:hAnsi="华文中宋" w:eastAsia="华文中宋"/>
        </w:rPr>
      </w:pPr>
      <w:r>
        <w:rPr>
          <w:rFonts w:hint="eastAsia" w:ascii="华文中宋" w:hAnsi="华文中宋" w:eastAsia="华文中宋"/>
        </w:rPr>
        <w:t>第四章  响应文件（格式）</w:t>
      </w:r>
      <w:bookmarkEnd w:id="111"/>
    </w:p>
    <w:p>
      <w:pPr>
        <w:widowControl/>
        <w:adjustRightInd w:val="0"/>
        <w:spacing w:line="360" w:lineRule="auto"/>
        <w:ind w:firstLine="560" w:firstLineChars="200"/>
        <w:jc w:val="left"/>
        <w:rPr>
          <w:rFonts w:ascii="仿宋" w:hAnsi="仿宋" w:eastAsia="仿宋" w:cs="仿宋"/>
          <w:sz w:val="28"/>
          <w:szCs w:val="28"/>
        </w:rPr>
      </w:pP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1、比选申请人在编制响应文件时应使用本章所附格式；本章未规定格式的，由比选申请人根据实际情况自主编制。</w:t>
      </w: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2、响应文件中的表格或空格如填写不下，可编辑扩充或另附页。本章所附格式，比选申请人为编制响应文件可以复制或编辑。</w:t>
      </w:r>
    </w:p>
    <w:p>
      <w:pPr>
        <w:widowControl/>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3、比选申请人应按照响应文件格式的要求编制响应文件（字体不限）。响应文件密封后按规定的时间和地点提交。</w:t>
      </w: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adjustRightInd w:val="0"/>
        <w:snapToGrid w:val="0"/>
        <w:spacing w:line="360" w:lineRule="auto"/>
        <w:ind w:firstLine="560" w:firstLineChars="200"/>
        <w:jc w:val="left"/>
        <w:rPr>
          <w:rFonts w:ascii="仿宋_GB2312" w:eastAsia="仿宋_GB2312"/>
          <w:sz w:val="28"/>
          <w:szCs w:val="28"/>
        </w:rPr>
      </w:pPr>
    </w:p>
    <w:p>
      <w:pPr>
        <w:widowControl/>
        <w:jc w:val="left"/>
        <w:rPr>
          <w:rFonts w:ascii="仿宋_GB2312" w:eastAsia="仿宋_GB2312"/>
          <w:sz w:val="24"/>
          <w:u w:val="single"/>
        </w:rPr>
      </w:pPr>
    </w:p>
    <w:p>
      <w:pPr>
        <w:jc w:val="center"/>
        <w:outlineLvl w:val="1"/>
        <w:rPr>
          <w:rFonts w:ascii="华文中宋" w:hAnsi="华文中宋" w:eastAsia="华文中宋" w:cs="华文中宋"/>
          <w:b/>
          <w:sz w:val="48"/>
          <w:szCs w:val="48"/>
        </w:rPr>
      </w:pPr>
      <w:bookmarkStart w:id="112" w:name="_Toc8067"/>
      <w:bookmarkStart w:id="113" w:name="_Toc11108"/>
      <w:r>
        <w:rPr>
          <w:rFonts w:hint="eastAsia" w:ascii="华文中宋" w:hAnsi="华文中宋" w:eastAsia="华文中宋" w:cs="华文中宋"/>
          <w:b/>
          <w:sz w:val="48"/>
          <w:szCs w:val="48"/>
        </w:rPr>
        <w:t>（比选项目名称）</w:t>
      </w:r>
      <w:bookmarkEnd w:id="112"/>
      <w:bookmarkEnd w:id="113"/>
    </w:p>
    <w:p>
      <w:pPr>
        <w:rPr>
          <w:rFonts w:ascii="华文中宋" w:hAnsi="华文中宋" w:eastAsia="华文中宋" w:cs="华文中宋"/>
          <w:sz w:val="28"/>
          <w:szCs w:val="28"/>
        </w:rPr>
      </w:pPr>
    </w:p>
    <w:p>
      <w:pPr>
        <w:rPr>
          <w:rFonts w:ascii="华文中宋" w:hAnsi="华文中宋" w:eastAsia="华文中宋" w:cs="华文中宋"/>
          <w:sz w:val="28"/>
          <w:szCs w:val="28"/>
        </w:rPr>
      </w:pP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响</w:t>
      </w: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应</w:t>
      </w:r>
    </w:p>
    <w:p>
      <w:pPr>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文</w:t>
      </w:r>
    </w:p>
    <w:p>
      <w:pPr>
        <w:jc w:val="center"/>
        <w:rPr>
          <w:rFonts w:ascii="华文中宋" w:hAnsi="华文中宋" w:eastAsia="华文中宋" w:cs="华文中宋"/>
          <w:sz w:val="40"/>
          <w:szCs w:val="40"/>
        </w:rPr>
      </w:pPr>
      <w:r>
        <w:rPr>
          <w:rFonts w:hint="eastAsia" w:ascii="华文中宋" w:hAnsi="华文中宋" w:eastAsia="华文中宋" w:cs="华文中宋"/>
          <w:b/>
          <w:sz w:val="72"/>
          <w:szCs w:val="72"/>
        </w:rPr>
        <w:t>件</w:t>
      </w:r>
    </w:p>
    <w:p>
      <w:pPr>
        <w:rPr>
          <w:rFonts w:ascii="华文中宋" w:hAnsi="华文中宋" w:eastAsia="华文中宋" w:cs="华文中宋"/>
          <w:sz w:val="28"/>
          <w:szCs w:val="28"/>
        </w:rPr>
      </w:pPr>
    </w:p>
    <w:p>
      <w:pPr>
        <w:pStyle w:val="22"/>
        <w:ind w:firstLine="280"/>
        <w:rPr>
          <w:rFonts w:ascii="华文中宋" w:hAnsi="华文中宋" w:eastAsia="华文中宋" w:cs="华文中宋"/>
          <w:sz w:val="28"/>
          <w:szCs w:val="28"/>
        </w:rPr>
      </w:pPr>
    </w:p>
    <w:p>
      <w:pPr>
        <w:ind w:firstLine="1600" w:firstLineChars="500"/>
        <w:rPr>
          <w:rFonts w:ascii="华文中宋" w:hAnsi="华文中宋" w:eastAsia="华文中宋" w:cs="华文中宋"/>
          <w:b/>
          <w:sz w:val="28"/>
          <w:szCs w:val="28"/>
        </w:rPr>
      </w:pPr>
      <w:r>
        <w:rPr>
          <w:rFonts w:hint="eastAsia" w:ascii="华文中宋" w:hAnsi="华文中宋" w:eastAsia="华文中宋" w:cs="华文中宋"/>
          <w:sz w:val="32"/>
          <w:szCs w:val="32"/>
        </w:rPr>
        <w:t>比选人</w:t>
      </w:r>
      <w:r>
        <w:rPr>
          <w:rFonts w:hint="eastAsia" w:ascii="华文中宋" w:hAnsi="华文中宋" w:eastAsia="华文中宋" w:cs="华文中宋"/>
          <w:sz w:val="28"/>
          <w:szCs w:val="28"/>
        </w:rPr>
        <w:t>：</w:t>
      </w:r>
      <w:r>
        <w:rPr>
          <w:rFonts w:hint="eastAsia" w:ascii="华文中宋" w:hAnsi="华文中宋" w:eastAsia="华文中宋" w:cs="华文中宋"/>
          <w:b/>
          <w:sz w:val="28"/>
          <w:szCs w:val="28"/>
          <w:u w:val="single"/>
        </w:rPr>
        <w:t xml:space="preserve">                 </w:t>
      </w:r>
    </w:p>
    <w:p>
      <w:pPr>
        <w:rPr>
          <w:rFonts w:ascii="华文中宋" w:hAnsi="华文中宋" w:eastAsia="华文中宋" w:cs="华文中宋"/>
          <w:sz w:val="28"/>
          <w:szCs w:val="28"/>
        </w:rPr>
      </w:pPr>
    </w:p>
    <w:p>
      <w:pPr>
        <w:ind w:firstLine="1600" w:firstLineChars="500"/>
        <w:rPr>
          <w:rFonts w:ascii="华文中宋" w:hAnsi="华文中宋" w:eastAsia="华文中宋" w:cs="华文中宋"/>
          <w:sz w:val="32"/>
          <w:szCs w:val="32"/>
          <w:u w:val="single"/>
        </w:rPr>
      </w:pPr>
      <w:r>
        <w:rPr>
          <w:rFonts w:hint="eastAsia" w:ascii="华文中宋" w:hAnsi="华文中宋" w:eastAsia="华文中宋" w:cs="华文中宋"/>
          <w:sz w:val="32"/>
          <w:szCs w:val="32"/>
        </w:rPr>
        <w:t>比选申请人：</w:t>
      </w:r>
      <w:r>
        <w:rPr>
          <w:rFonts w:hint="eastAsia" w:ascii="华文中宋" w:hAnsi="华文中宋" w:eastAsia="华文中宋" w:cs="华文中宋"/>
          <w:sz w:val="32"/>
          <w:szCs w:val="32"/>
          <w:u w:val="single"/>
        </w:rPr>
        <w:t>（单位全称并加盖公章）</w:t>
      </w:r>
    </w:p>
    <w:p>
      <w:pPr>
        <w:rPr>
          <w:rFonts w:ascii="华文中宋" w:hAnsi="华文中宋" w:eastAsia="华文中宋" w:cs="华文中宋"/>
          <w:sz w:val="32"/>
          <w:szCs w:val="32"/>
        </w:rPr>
      </w:pPr>
    </w:p>
    <w:p>
      <w:pPr>
        <w:rPr>
          <w:rFonts w:ascii="华文中宋" w:hAnsi="华文中宋" w:eastAsia="华文中宋" w:cs="华文中宋"/>
          <w:sz w:val="32"/>
          <w:szCs w:val="32"/>
        </w:rPr>
      </w:pPr>
    </w:p>
    <w:p>
      <w:pPr>
        <w:rPr>
          <w:rFonts w:ascii="华文中宋" w:hAnsi="华文中宋" w:eastAsia="华文中宋" w:cs="华文中宋"/>
          <w:sz w:val="32"/>
          <w:szCs w:val="32"/>
        </w:rPr>
      </w:pPr>
    </w:p>
    <w:p>
      <w:pPr>
        <w:jc w:val="center"/>
        <w:rPr>
          <w:rFonts w:ascii="华文中宋" w:hAnsi="华文中宋" w:eastAsia="华文中宋" w:cs="华文中宋"/>
          <w:sz w:val="32"/>
          <w:szCs w:val="32"/>
        </w:rPr>
      </w:pPr>
      <w:r>
        <w:rPr>
          <w:rFonts w:hint="eastAsia" w:ascii="华文中宋" w:hAnsi="华文中宋" w:eastAsia="华文中宋" w:cs="华文中宋"/>
          <w:sz w:val="32"/>
          <w:szCs w:val="32"/>
        </w:rPr>
        <w:t>年    月    日</w:t>
      </w:r>
    </w:p>
    <w:p>
      <w:pPr>
        <w:pStyle w:val="3"/>
        <w:adjustRightInd w:val="0"/>
        <w:snapToGrid w:val="0"/>
        <w:spacing w:line="415" w:lineRule="auto"/>
        <w:jc w:val="center"/>
        <w:rPr>
          <w:rFonts w:ascii="黑体" w:eastAsia="黑体"/>
        </w:rPr>
        <w:sectPr>
          <w:pgSz w:w="11906" w:h="16838"/>
          <w:pgMar w:top="1440" w:right="1800" w:bottom="1440" w:left="1800" w:header="851" w:footer="992" w:gutter="0"/>
          <w:cols w:space="425" w:num="1"/>
          <w:titlePg/>
          <w:docGrid w:type="lines" w:linePitch="312" w:charSpace="0"/>
        </w:sectPr>
      </w:pPr>
      <w:r>
        <w:rPr>
          <w:rFonts w:ascii="黑体" w:eastAsia="黑体"/>
        </w:rPr>
        <w:br w:type="page"/>
      </w:r>
    </w:p>
    <w:p>
      <w:pPr>
        <w:spacing w:line="480" w:lineRule="auto"/>
        <w:jc w:val="center"/>
        <w:outlineLvl w:val="1"/>
        <w:rPr>
          <w:rFonts w:ascii="仿宋" w:hAnsi="仿宋" w:eastAsia="仿宋" w:cs="仿宋"/>
          <w:b/>
          <w:sz w:val="32"/>
          <w:szCs w:val="32"/>
        </w:rPr>
      </w:pPr>
      <w:bookmarkStart w:id="114" w:name="_Toc32315"/>
      <w:bookmarkStart w:id="115" w:name="_Toc30276"/>
      <w:r>
        <w:rPr>
          <w:rFonts w:hint="eastAsia" w:ascii="仿宋" w:hAnsi="仿宋" w:eastAsia="仿宋" w:cs="仿宋"/>
          <w:b/>
          <w:sz w:val="32"/>
          <w:szCs w:val="32"/>
        </w:rPr>
        <w:t>1、承诺函</w:t>
      </w:r>
      <w:bookmarkEnd w:id="114"/>
      <w:bookmarkEnd w:id="115"/>
    </w:p>
    <w:p>
      <w:pPr>
        <w:spacing w:line="360" w:lineRule="auto"/>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（比选代理机构名称）：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我公司作为本次比选项目的供应商，根据比选文件要求，现郑重承诺如下：</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一、符合相关资格条件：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（一）具有独立承担民事责任的能力；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（二）具有良好的商业信誉和健全的财务会计制度；</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（三）具有履行合同所必需的设备和专业技术能力；</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（四）有依法缴纳税收和社会保障资金的良好记录；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（五）参加政府采购活动前三年内，在经营活动中没有重大违法记录；</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（六）法律、行政法规规定的其他条件；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（七）根据采购项目提出的特殊条件。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完全接受本项目比选文件中规定的要求，如对比选文件有异议，已经在递交响应文件截止时间届满前依法进行维权救济，不存在对比选文件有异议的同时又参加比选以求侥幸中选或者为实现其他非法目的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三、在参加本次比选活动中，不存在与单位负责人为同一人或者存在直接控股、管理关系的其他供应商参与同一合同项下的比选活动的行为。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四、在参加本次比选活动中，不存在和其他供应商在同一合同项下的比选项目中，同时委托同一个自然人、同一家庭的人员、同一单位的人员作为代理人的行为。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五、如有记入诚信档案的失信行为，将在响应文件中全面如实反映。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六、响应文件中提供的任何资料和技术、服务、商务等响应承诺情况都是真实的、有效的、合法的。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本公司对上述申明的内容事项真实性负责。如经查实上述申明的内容事项存在虚假，我公司愿意接受以提供虚假材料谋取中选的法律责任。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jc w:val="center"/>
        <w:outlineLvl w:val="1"/>
        <w:rPr>
          <w:rFonts w:ascii="仿宋" w:hAnsi="仿宋" w:eastAsia="仿宋" w:cs="仿宋"/>
          <w:b/>
          <w:sz w:val="32"/>
          <w:szCs w:val="32"/>
        </w:rPr>
      </w:pPr>
      <w:bookmarkStart w:id="116" w:name="_Toc30841"/>
      <w:bookmarkStart w:id="117" w:name="_Toc27659"/>
      <w:r>
        <w:rPr>
          <w:rFonts w:hint="eastAsia" w:ascii="仿宋" w:hAnsi="仿宋" w:eastAsia="仿宋" w:cs="仿宋"/>
          <w:b/>
          <w:sz w:val="32"/>
          <w:szCs w:val="32"/>
        </w:rPr>
        <w:t>2、营业执照</w:t>
      </w:r>
      <w:bookmarkEnd w:id="116"/>
      <w:bookmarkEnd w:id="117"/>
    </w:p>
    <w:p>
      <w:pPr>
        <w:adjustRightInd w:val="0"/>
        <w:spacing w:before="0" w:after="0" w:line="480" w:lineRule="auto"/>
        <w:jc w:val="center"/>
        <w:outlineLvl w:val="9"/>
        <w:rPr>
          <w:rFonts w:ascii="仿宋" w:hAnsi="仿宋" w:eastAsia="仿宋" w:cs="仿宋"/>
          <w:bCs w:val="0"/>
        </w:rPr>
      </w:pPr>
      <w:bookmarkStart w:id="118" w:name="_Toc30438"/>
      <w:bookmarkStart w:id="119" w:name="_Toc23886"/>
      <w:bookmarkStart w:id="120" w:name="_Toc1563"/>
      <w: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22225</wp:posOffset>
                </wp:positionV>
                <wp:extent cx="6213475" cy="8439150"/>
                <wp:effectExtent l="4445" t="4445" r="11430" b="14605"/>
                <wp:wrapNone/>
                <wp:docPr id="7" name="矩形 7"/>
                <wp:cNvGraphicFramePr/>
                <a:graphic xmlns:a="http://schemas.openxmlformats.org/drawingml/2006/main">
                  <a:graphicData uri="http://schemas.microsoft.com/office/word/2010/wordprocessingShape">
                    <wps:wsp>
                      <wps:cNvSpPr/>
                      <wps:spPr>
                        <a:xfrm>
                          <a:off x="411480" y="1353185"/>
                          <a:ext cx="6213475" cy="8439150"/>
                        </a:xfrm>
                        <a:prstGeom prst="rect">
                          <a:avLst/>
                        </a:prstGeom>
                        <a:noFill/>
                        <a:ln w="6350" cap="flat" cmpd="sng" algn="ctr">
                          <a:solidFill>
                            <a:srgbClr val="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1.75pt;height:664.5pt;width:489.25pt;z-index:251663360;v-text-anchor:middle;mso-width-relative:page;mso-height-relative:page;" filled="f" stroked="t" coordsize="21600,21600" o:gfxdata="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BZuG2QAA&#10;AAoBAAAPAAAAAAAAAAEAIAAAACIAAABkcnMvZG93bnJldi54bWxQSwECFAAUAAAACACHTuJAEdZl&#10;G1YCAACBBAAADgAAAAAAAAABACAAAAAoAQAAZHJzL2Uyb0RvYy54bWxQSwUGAAAAAAYABgBZAQAA&#10;8AUAAAAA&#10;">
                <v:fill on="f" focussize="0,0"/>
                <v:stroke weight="0.5pt" color="#000000" joinstyle="round" dashstyle="3 1"/>
                <v:imagedata o:title=""/>
                <o:lock v:ext="edit" aspectratio="f"/>
              </v:rect>
            </w:pict>
          </mc:Fallback>
        </mc:AlternateContent>
      </w:r>
      <w:r>
        <w:rPr>
          <w:rFonts w:hint="eastAsia" w:ascii="仿宋" w:hAnsi="仿宋" w:eastAsia="仿宋" w:cs="仿宋"/>
          <w:bCs w:val="0"/>
        </w:rPr>
        <w:br w:type="page"/>
      </w:r>
      <w:bookmarkEnd w:id="118"/>
      <w:bookmarkEnd w:id="119"/>
      <w:bookmarkEnd w:id="120"/>
    </w:p>
    <w:p>
      <w:pPr>
        <w:spacing w:line="480" w:lineRule="auto"/>
        <w:jc w:val="center"/>
        <w:outlineLvl w:val="1"/>
        <w:rPr>
          <w:rFonts w:ascii="仿宋" w:hAnsi="仿宋" w:eastAsia="仿宋" w:cs="仿宋"/>
          <w:b/>
          <w:sz w:val="32"/>
          <w:szCs w:val="32"/>
        </w:rPr>
      </w:pPr>
      <w:bookmarkStart w:id="121" w:name="_Toc28837"/>
      <w:bookmarkStart w:id="122" w:name="_Toc17121"/>
      <w:r>
        <w:rPr>
          <w:rFonts w:hint="eastAsia" w:ascii="仿宋" w:hAnsi="仿宋" w:eastAsia="仿宋" w:cs="仿宋"/>
          <w:b/>
          <w:sz w:val="32"/>
          <w:szCs w:val="32"/>
        </w:rPr>
        <w:t>3、法定代表人授权书</w:t>
      </w:r>
      <w:bookmarkEnd w:id="121"/>
      <w:bookmarkEnd w:id="122"/>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本授权委托书声明：我 </w:t>
      </w:r>
      <w:r>
        <w:rPr>
          <w:rFonts w:hint="eastAsia" w:ascii="仿宋_GB2312" w:hAnsi="宋体" w:eastAsia="仿宋_GB2312" w:cs="仿宋_GB2312"/>
          <w:kern w:val="0"/>
          <w:sz w:val="28"/>
          <w:szCs w:val="28"/>
          <w:u w:val="single"/>
        </w:rPr>
        <w:t xml:space="preserve">（姓名） </w:t>
      </w:r>
      <w:r>
        <w:rPr>
          <w:rFonts w:hint="eastAsia" w:ascii="仿宋_GB2312" w:hAnsi="宋体" w:eastAsia="仿宋_GB2312" w:cs="仿宋_GB2312"/>
          <w:kern w:val="0"/>
          <w:sz w:val="28"/>
          <w:szCs w:val="28"/>
        </w:rPr>
        <w:t>系</w:t>
      </w:r>
      <w:r>
        <w:rPr>
          <w:rFonts w:hint="eastAsia" w:ascii="仿宋_GB2312" w:hAnsi="宋体" w:eastAsia="仿宋_GB2312" w:cs="仿宋_GB2312"/>
          <w:kern w:val="0"/>
          <w:sz w:val="28"/>
          <w:szCs w:val="28"/>
          <w:u w:val="single"/>
        </w:rPr>
        <w:t xml:space="preserve"> （比选申请人名称） </w:t>
      </w:r>
      <w:r>
        <w:rPr>
          <w:rFonts w:hint="eastAsia" w:ascii="仿宋_GB2312" w:hAnsi="宋体" w:eastAsia="仿宋_GB2312" w:cs="仿宋_GB2312"/>
          <w:kern w:val="0"/>
          <w:sz w:val="28"/>
          <w:szCs w:val="28"/>
        </w:rPr>
        <w:t>的法定代表人，现授权</w:t>
      </w:r>
      <w:r>
        <w:rPr>
          <w:rFonts w:hint="eastAsia" w:ascii="仿宋_GB2312" w:hAnsi="宋体" w:eastAsia="仿宋_GB2312" w:cs="仿宋_GB2312"/>
          <w:kern w:val="0"/>
          <w:sz w:val="28"/>
          <w:szCs w:val="28"/>
          <w:u w:val="single"/>
        </w:rPr>
        <w:t xml:space="preserve"> （姓名） </w:t>
      </w:r>
      <w:r>
        <w:rPr>
          <w:rFonts w:hint="eastAsia" w:ascii="仿宋_GB2312" w:hAnsi="宋体" w:eastAsia="仿宋_GB2312" w:cs="仿宋_GB2312"/>
          <w:kern w:val="0"/>
          <w:sz w:val="28"/>
          <w:szCs w:val="28"/>
        </w:rPr>
        <w:t>为我单位委托代理人，以本单位的名义参加</w:t>
      </w:r>
      <w:r>
        <w:rPr>
          <w:rFonts w:hint="eastAsia" w:ascii="仿宋_GB2312" w:hAnsi="宋体" w:eastAsia="仿宋_GB2312" w:cs="仿宋_GB2312"/>
          <w:kern w:val="0"/>
          <w:sz w:val="28"/>
          <w:szCs w:val="28"/>
          <w:u w:val="single"/>
        </w:rPr>
        <w:t>项目</w:t>
      </w:r>
      <w:r>
        <w:rPr>
          <w:rFonts w:hint="eastAsia" w:ascii="仿宋_GB2312" w:hAnsi="宋体" w:eastAsia="仿宋_GB2312" w:cs="仿宋_GB2312"/>
          <w:kern w:val="0"/>
          <w:sz w:val="28"/>
          <w:szCs w:val="28"/>
        </w:rPr>
        <w:t>的比选活动。委托代理人在比选活动和评比以及合同签订过程中所签署的一切文件和处理与之有关的一切事务，我及我单位均予以承认，并全部承担其产生的所有权利和义务。</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委托代理人无转委托权。特此委托。</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法定代表人：</w:t>
      </w:r>
      <w:r>
        <w:rPr>
          <w:rFonts w:hint="eastAsia" w:ascii="仿宋_GB2312" w:hAnsi="宋体" w:eastAsia="仿宋_GB2312" w:cs="仿宋_GB2312"/>
          <w:kern w:val="0"/>
          <w:sz w:val="28"/>
          <w:szCs w:val="28"/>
          <w:u w:val="single"/>
        </w:rPr>
        <w:t xml:space="preserve">    （签字）   </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委托代理人：</w:t>
      </w:r>
      <w:r>
        <w:rPr>
          <w:rFonts w:hint="eastAsia" w:ascii="仿宋_GB2312" w:hAnsi="宋体" w:eastAsia="仿宋_GB2312" w:cs="仿宋_GB2312"/>
          <w:kern w:val="0"/>
          <w:sz w:val="28"/>
          <w:szCs w:val="28"/>
          <w:u w:val="single"/>
        </w:rPr>
        <w:t xml:space="preserve">    （签字）  </w:t>
      </w:r>
    </w:p>
    <w:p>
      <w:pPr>
        <w:autoSpaceDE w:val="0"/>
        <w:autoSpaceDN w:val="0"/>
        <w:adjustRightInd w:val="0"/>
        <w:spacing w:line="360" w:lineRule="auto"/>
        <w:ind w:firstLine="560" w:firstLineChars="200"/>
        <w:jc w:val="left"/>
        <w:rPr>
          <w:rFonts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比选申请人：</w:t>
      </w:r>
      <w:r>
        <w:rPr>
          <w:rFonts w:hint="eastAsia" w:ascii="仿宋_GB2312" w:hAnsi="宋体" w:eastAsia="仿宋_GB2312" w:cs="仿宋_GB2312"/>
          <w:kern w:val="0"/>
          <w:sz w:val="28"/>
          <w:szCs w:val="28"/>
          <w:u w:val="single"/>
        </w:rPr>
        <w:t>（全称并加盖公章）</w:t>
      </w:r>
    </w:p>
    <w:p>
      <w:pPr>
        <w:spacing w:line="360" w:lineRule="auto"/>
        <w:ind w:firstLine="480"/>
        <w:rPr>
          <w:rFonts w:ascii="仿宋_GB2312" w:hAnsi="宋体" w:eastAsia="仿宋_GB2312" w:cs="仿宋_GB2312"/>
          <w:kern w:val="0"/>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pPr>
      <w:r>
        <mc:AlternateContent>
          <mc:Choice Requires="wps">
            <w:drawing>
              <wp:anchor distT="0" distB="0" distL="114300" distR="114300" simplePos="0" relativeHeight="251662336" behindDoc="0" locked="0" layoutInCell="1" allowOverlap="1">
                <wp:simplePos x="0" y="0"/>
                <wp:positionH relativeFrom="column">
                  <wp:posOffset>2787015</wp:posOffset>
                </wp:positionH>
                <wp:positionV relativeFrom="paragraph">
                  <wp:posOffset>2280920</wp:posOffset>
                </wp:positionV>
                <wp:extent cx="2962275" cy="1752600"/>
                <wp:effectExtent l="9525" t="9525" r="19050" b="9525"/>
                <wp:wrapNone/>
                <wp:docPr id="6" name="矩形 6"/>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179.6pt;height:138pt;width:233.25pt;z-index:251662336;v-text-anchor:middle;mso-width-relative:page;mso-height-relative:page;" filled="f" stroked="t" coordsize="21600,21600" o:gfxdata="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lIGS2wAAAAsBAAAPAAAAAAAAAAEAIAAAACIAAABkcnMvZG93bnJldi54bWxQSwECFAAUAAAA&#10;CACHTuJANHErql0CAACYBAAADgAAAAAAAAABACAAAAAqAQAAZHJzL2Uyb0RvYy54bWxQSwUGAAAA&#10;AAYABgBZAQAA+QU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2299970</wp:posOffset>
                </wp:positionV>
                <wp:extent cx="2962275" cy="1752600"/>
                <wp:effectExtent l="9525" t="9525" r="19050" b="9525"/>
                <wp:wrapNone/>
                <wp:docPr id="5" name="矩形 5"/>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181.1pt;height:138pt;width:233.25pt;z-index:251661312;v-text-anchor:middle;mso-width-relative:page;mso-height-relative:page;" filled="f" stroked="t" coordsize="21600,21600" o:gfxdata="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ZKTTTbAAAACwEAAA8AAAAAAAAAAQAgAAAAIgAAAGRycy9kb3ducmV2LnhtbFBLAQIUABQAAAAI&#10;AIdO4kDRkqA/XAIAAJgEAAAOAAAAAAAAAAEAIAAAACoBAABkcnMvZTJvRG9jLnhtbFBLBQYAAAAA&#10;BgAGAFkBAAD4BQ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423545</wp:posOffset>
                </wp:positionV>
                <wp:extent cx="2962275" cy="1752600"/>
                <wp:effectExtent l="9525" t="9525" r="19050" b="9525"/>
                <wp:wrapNone/>
                <wp:docPr id="3" name="矩形 3"/>
                <wp:cNvGraphicFramePr/>
                <a:graphic xmlns:a="http://schemas.openxmlformats.org/drawingml/2006/main">
                  <a:graphicData uri="http://schemas.microsoft.com/office/word/2010/wordprocessingShape">
                    <wps:wsp>
                      <wps:cNvSpPr/>
                      <wps:spPr>
                        <a:xfrm>
                          <a:off x="653415" y="6279515"/>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33.35pt;height:138pt;width:233.25pt;z-index:251659264;v-text-anchor:middle;mso-width-relative:page;mso-height-relative:page;" filled="f" stroked="t" coordsize="21600,21600" o:gfxdata="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9kp/7bAAAACgEAAA8AAAAAAAAAAQAgAAAAIgAAAGRycy9kb3ducmV2Lnht&#10;bFBLAQIUABQAAAAIAIdO4kDeGHYAaAIAAKMEAAAOAAAAAAAAAAEAIAAAACoBAABkcnMvZTJvRG9j&#10;LnhtbFBLBQYAAAAABgAGAFkBAAAEBgAAAAA=&#10;">
                <v:fill on="f" focussize="0,0"/>
                <v:stroke weight="1.5pt" color="#264264" joinstyle="round" dashstyle="dashDot"/>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414020</wp:posOffset>
                </wp:positionV>
                <wp:extent cx="2962275" cy="1752600"/>
                <wp:effectExtent l="9525" t="9525" r="19050" b="9525"/>
                <wp:wrapNone/>
                <wp:docPr id="4" name="矩形 4"/>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32.6pt;height:138pt;width:233.25pt;z-index:251660288;v-text-anchor:middle;mso-width-relative:page;mso-height-relative:page;" filled="f" stroked="t" coordsize="21600,21600" o:gfxdata="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d5zD2wAAAAoBAAAPAAAAAAAAAAEAIAAAACIAAABkcnMvZG93bnJldi54bWxQSwECFAAUAAAA&#10;CACHTuJAcszZTF0CAACYBAAADgAAAAAAAAABACAAAAAqAQAAZHJzL2Uyb0RvYy54bWxQSwUGAAAA&#10;AAYABgBZAQAA+QUAAAAA&#10;">
                <v:fill on="f" focussize="0,0"/>
                <v:stroke weight="1.5pt" color="#264264" joinstyle="round" dashstyle="dashDot"/>
                <v:imagedata o:title=""/>
                <o:lock v:ext="edit" aspectratio="f"/>
              </v:rect>
            </w:pict>
          </mc:Fallback>
        </mc:AlternateContent>
      </w: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rPr>
          <w:sz w:val="28"/>
          <w:szCs w:val="28"/>
        </w:rPr>
      </w:pPr>
      <w:r>
        <w:rPr>
          <w:rFonts w:hint="eastAsia"/>
          <w:b/>
          <w:bCs/>
          <w:sz w:val="28"/>
          <w:szCs w:val="28"/>
        </w:rPr>
        <w:t>法定代表人身份证国徽面</w:t>
      </w:r>
      <w:r>
        <w:rPr>
          <w:rFonts w:hint="eastAsia"/>
          <w:sz w:val="28"/>
          <w:szCs w:val="28"/>
        </w:rPr>
        <w:t xml:space="preserve">               </w:t>
      </w:r>
      <w:r>
        <w:rPr>
          <w:rFonts w:hint="eastAsia"/>
          <w:b/>
          <w:bCs/>
          <w:sz w:val="28"/>
          <w:szCs w:val="28"/>
        </w:rPr>
        <w:t>法定代表人身份证人像面</w:t>
      </w:r>
    </w:p>
    <w:p>
      <w:pPr>
        <w:ind w:firstLine="280" w:firstLineChars="100"/>
        <w:outlineLvl w:val="9"/>
        <w:rPr>
          <w:sz w:val="28"/>
          <w:szCs w:val="28"/>
        </w:rPr>
      </w:pPr>
    </w:p>
    <w:p>
      <w:pPr>
        <w:rPr>
          <w:rFonts w:ascii="仿宋" w:hAnsi="仿宋" w:eastAsia="仿宋" w:cs="仿宋"/>
          <w:b/>
        </w:rPr>
      </w:pPr>
    </w:p>
    <w:p>
      <w:pPr>
        <w:rPr>
          <w:rFonts w:ascii="仿宋" w:hAnsi="仿宋" w:eastAsia="仿宋" w:cs="仿宋"/>
          <w:b/>
        </w:rPr>
      </w:pPr>
    </w:p>
    <w:p>
      <w:pPr>
        <w:rPr>
          <w:rFonts w:ascii="仿宋" w:hAnsi="仿宋" w:eastAsia="仿宋" w:cs="仿宋"/>
          <w:b/>
          <w:bCs/>
        </w:rPr>
      </w:pPr>
      <w:r>
        <w:rPr>
          <w:rFonts w:hint="eastAsia"/>
          <w:b/>
          <w:bCs/>
          <w:sz w:val="28"/>
          <w:szCs w:val="28"/>
        </w:rPr>
        <w:t>委托代理人身份证国徽面</w:t>
      </w:r>
      <w:r>
        <w:rPr>
          <w:rFonts w:hint="eastAsia"/>
          <w:sz w:val="28"/>
          <w:szCs w:val="28"/>
        </w:rPr>
        <w:t xml:space="preserve">               </w:t>
      </w:r>
      <w:r>
        <w:rPr>
          <w:rFonts w:hint="eastAsia"/>
          <w:b/>
          <w:bCs/>
          <w:sz w:val="28"/>
          <w:szCs w:val="28"/>
        </w:rPr>
        <w:t>委托代理人身份证人像面</w:t>
      </w:r>
    </w:p>
    <w:p>
      <w:pPr>
        <w:rPr>
          <w:rFonts w:ascii="仿宋" w:hAnsi="仿宋" w:eastAsia="仿宋" w:cs="仿宋"/>
          <w:b/>
        </w:rPr>
      </w:pPr>
    </w:p>
    <w:p>
      <w:pPr>
        <w:rPr>
          <w:rFonts w:ascii="仿宋" w:hAnsi="仿宋" w:eastAsia="仿宋" w:cs="仿宋"/>
          <w:b/>
        </w:rPr>
      </w:pPr>
      <w:r>
        <w:rPr>
          <w:rFonts w:hint="eastAsia" w:ascii="仿宋" w:hAnsi="仿宋" w:eastAsia="仿宋" w:cs="仿宋"/>
          <w:b/>
        </w:rPr>
        <w:br w:type="page"/>
      </w:r>
    </w:p>
    <w:p>
      <w:pPr>
        <w:spacing w:line="480" w:lineRule="auto"/>
        <w:jc w:val="center"/>
        <w:outlineLvl w:val="1"/>
        <w:rPr>
          <w:rFonts w:ascii="仿宋" w:hAnsi="仿宋" w:eastAsia="仿宋" w:cs="仿宋"/>
          <w:b/>
          <w:sz w:val="32"/>
          <w:szCs w:val="32"/>
        </w:rPr>
      </w:pPr>
      <w:bookmarkStart w:id="123" w:name="_Toc7418"/>
      <w:bookmarkStart w:id="124" w:name="_Toc9357"/>
      <w:bookmarkStart w:id="125" w:name="_Toc1807"/>
      <w:r>
        <w:rPr>
          <w:rFonts w:hint="eastAsia" w:ascii="仿宋" w:hAnsi="仿宋" w:eastAsia="仿宋" w:cs="仿宋"/>
          <w:b/>
          <w:sz w:val="32"/>
          <w:szCs w:val="32"/>
        </w:rPr>
        <w:t>4、法定代表人身份证明书</w:t>
      </w:r>
      <w:bookmarkEnd w:id="123"/>
      <w:bookmarkEnd w:id="124"/>
    </w:p>
    <w:p>
      <w:pPr>
        <w:ind w:firstLine="420" w:firstLineChars="200"/>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w:t>
      </w:r>
      <w:r>
        <w:rPr>
          <w:rFonts w:hint="eastAsia" w:ascii="仿宋" w:hAnsi="仿宋" w:eastAsia="仿宋" w:cs="仿宋"/>
          <w:sz w:val="28"/>
          <w:szCs w:val="28"/>
        </w:rPr>
        <w:tab/>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供应商名称）的法定代表人/单位负责人。就参加你单位组织的“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”的采购活动、合同签订以及合同履约等一切事宜，我单位均予承认，所产生的法律后果均由我单位承担。</w:t>
      </w:r>
    </w:p>
    <w:p>
      <w:pPr>
        <w:spacing w:line="360" w:lineRule="auto"/>
        <w:ind w:firstLine="560" w:firstLineChars="200"/>
        <w:rPr>
          <w:rFonts w:ascii="仿宋" w:hAnsi="仿宋" w:eastAsia="仿宋" w:cs="仿宋"/>
          <w:sz w:val="28"/>
          <w:szCs w:val="28"/>
        </w:rPr>
      </w:pPr>
      <w:bookmarkStart w:id="126" w:name="_Toc263768866"/>
      <w:r>
        <w:rPr>
          <w:rFonts w:hint="eastAsia" w:ascii="仿宋" w:hAnsi="仿宋" w:eastAsia="仿宋" w:cs="仿宋"/>
          <w:sz w:val="28"/>
          <w:szCs w:val="28"/>
        </w:rPr>
        <w:t>特此证明。</w:t>
      </w:r>
      <w:bookmarkEnd w:id="126"/>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注：附法定代表人身份证复印件（身份证双面均应复印件并加盖公章）。</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法定代表人（签字或盖章）：</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（单位盖章） </w:t>
      </w:r>
    </w:p>
    <w:p>
      <w:pPr>
        <w:spacing w:line="360" w:lineRule="auto"/>
        <w:ind w:firstLine="560" w:firstLineChars="200"/>
        <w:rPr>
          <w:rFonts w:ascii="仿宋" w:hAnsi="仿宋" w:eastAsia="仿宋" w:cs="仿宋"/>
          <w:sz w:val="28"/>
          <w:szCs w:val="28"/>
        </w:rPr>
        <w:sectPr>
          <w:pgSz w:w="11907" w:h="16840"/>
          <w:pgMar w:top="1440" w:right="1474" w:bottom="1440" w:left="1474" w:header="851" w:footer="851" w:gutter="0"/>
          <w:cols w:space="720" w:num="1"/>
          <w:docGrid w:linePitch="312" w:charSpace="0"/>
        </w:sectPr>
      </w:pP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rPr>
      </w:pPr>
    </w:p>
    <w:p>
      <w:pPr>
        <w:pStyle w:val="3"/>
        <w:adjustRightInd w:val="0"/>
        <w:spacing w:before="0" w:after="0" w:line="480" w:lineRule="auto"/>
        <w:jc w:val="center"/>
        <w:rPr>
          <w:rFonts w:ascii="仿宋" w:hAnsi="仿宋" w:eastAsia="仿宋" w:cs="仿宋"/>
          <w:bCs w:val="0"/>
        </w:rPr>
      </w:pPr>
      <w:bookmarkStart w:id="127" w:name="_Toc25789"/>
      <w:bookmarkStart w:id="128" w:name="_Toc2438"/>
      <w:r>
        <w:rPr>
          <w:rFonts w:hint="eastAsia" w:ascii="仿宋" w:hAnsi="仿宋" w:eastAsia="仿宋" w:cs="仿宋"/>
          <w:bCs w:val="0"/>
        </w:rPr>
        <w:t>5、比选申请人基本情况表</w:t>
      </w:r>
      <w:bookmarkEnd w:id="125"/>
      <w:bookmarkEnd w:id="127"/>
      <w:bookmarkEnd w:id="128"/>
    </w:p>
    <w:tbl>
      <w:tblPr>
        <w:tblStyle w:val="24"/>
        <w:tblpPr w:leftFromText="180" w:rightFromText="180" w:vertAnchor="text" w:horzAnchor="page" w:tblpXSpec="center" w:tblpY="310"/>
        <w:tblOverlap w:val="never"/>
        <w:tblW w:w="10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292"/>
        <w:gridCol w:w="664"/>
        <w:gridCol w:w="1440"/>
        <w:gridCol w:w="1924"/>
        <w:gridCol w:w="92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比选申请人</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460" w:type="dxa"/>
            <w:tcBorders>
              <w:tl2br w:val="nil"/>
              <w:tr2bl w:val="nil"/>
            </w:tcBorders>
            <w:vAlign w:val="center"/>
          </w:tcPr>
          <w:p>
            <w:pPr>
              <w:spacing w:line="360" w:lineRule="auto"/>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通讯地址</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企业负责人姓名</w:t>
            </w:r>
          </w:p>
        </w:tc>
        <w:tc>
          <w:tcPr>
            <w:tcW w:w="195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44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技术职称</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p>
        </w:tc>
        <w:tc>
          <w:tcPr>
            <w:tcW w:w="92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1474" w:type="dxa"/>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tcBorders>
              <w:tl2br w:val="nil"/>
              <w:tr2bl w:val="nil"/>
            </w:tcBorders>
            <w:vAlign w:val="center"/>
          </w:tcPr>
          <w:p>
            <w:pPr>
              <w:spacing w:line="360" w:lineRule="auto"/>
              <w:jc w:val="center"/>
              <w:rPr>
                <w:rFonts w:ascii="仿宋" w:hAnsi="仿宋" w:eastAsia="仿宋" w:cs="仿宋"/>
                <w:sz w:val="28"/>
                <w:szCs w:val="28"/>
              </w:rPr>
            </w:pPr>
            <w:r>
              <w:rPr>
                <w:rFonts w:hint="eastAsia" w:ascii="仿宋" w:hAnsi="仿宋" w:eastAsia="仿宋" w:cs="仿宋"/>
                <w:spacing w:val="2"/>
                <w:kern w:val="0"/>
                <w:sz w:val="28"/>
                <w:szCs w:val="28"/>
              </w:rPr>
              <w:t>技术负责人姓名</w:t>
            </w:r>
          </w:p>
        </w:tc>
        <w:tc>
          <w:tcPr>
            <w:tcW w:w="195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44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技术职称</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p>
        </w:tc>
        <w:tc>
          <w:tcPr>
            <w:tcW w:w="92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1474" w:type="dxa"/>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企业资质等级</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z w:val="28"/>
                <w:szCs w:val="28"/>
              </w:rPr>
              <w:t>（如有）</w:t>
            </w: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资格证书编号</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开户银行</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开户银行行号</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r>
              <w:rPr>
                <w:rFonts w:hint="eastAsia" w:ascii="仿宋" w:hAnsi="仿宋" w:eastAsia="仿宋" w:cs="仿宋"/>
                <w:spacing w:val="2"/>
                <w:kern w:val="0"/>
                <w:sz w:val="28"/>
                <w:szCs w:val="28"/>
              </w:rPr>
              <w:t>银行账号</w:t>
            </w:r>
          </w:p>
        </w:tc>
        <w:tc>
          <w:tcPr>
            <w:tcW w:w="3396" w:type="dxa"/>
            <w:gridSpan w:val="3"/>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pacing w:val="2"/>
                <w:kern w:val="0"/>
                <w:sz w:val="28"/>
                <w:szCs w:val="28"/>
              </w:rPr>
            </w:pP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2460" w:type="dxa"/>
            <w:vMerge w:val="restart"/>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业务联系方式</w:t>
            </w:r>
          </w:p>
        </w:tc>
        <w:tc>
          <w:tcPr>
            <w:tcW w:w="129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联系人</w:t>
            </w:r>
          </w:p>
        </w:tc>
        <w:tc>
          <w:tcPr>
            <w:tcW w:w="2104"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电话</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460" w:type="dxa"/>
            <w:vMerge w:val="continue"/>
            <w:tcBorders>
              <w:tl2br w:val="nil"/>
              <w:tr2bl w:val="nil"/>
            </w:tcBorders>
            <w:vAlign w:val="center"/>
          </w:tcPr>
          <w:p>
            <w:pPr>
              <w:spacing w:line="360" w:lineRule="auto"/>
              <w:ind w:left="-90"/>
              <w:jc w:val="center"/>
              <w:rPr>
                <w:rFonts w:ascii="仿宋" w:hAnsi="仿宋" w:eastAsia="仿宋" w:cs="仿宋"/>
                <w:sz w:val="28"/>
                <w:szCs w:val="28"/>
              </w:rPr>
            </w:pPr>
          </w:p>
        </w:tc>
        <w:tc>
          <w:tcPr>
            <w:tcW w:w="1292"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传  真</w:t>
            </w:r>
          </w:p>
        </w:tc>
        <w:tc>
          <w:tcPr>
            <w:tcW w:w="2104" w:type="dxa"/>
            <w:gridSpan w:val="2"/>
            <w:tcBorders>
              <w:tl2br w:val="nil"/>
              <w:tr2bl w:val="nil"/>
            </w:tcBorders>
            <w:vAlign w:val="center"/>
          </w:tcPr>
          <w:p>
            <w:pPr>
              <w:spacing w:line="360" w:lineRule="auto"/>
              <w:ind w:left="-90"/>
              <w:jc w:val="center"/>
              <w:rPr>
                <w:rFonts w:ascii="仿宋" w:hAnsi="仿宋" w:eastAsia="仿宋" w:cs="仿宋"/>
                <w:sz w:val="28"/>
                <w:szCs w:val="28"/>
              </w:rPr>
            </w:pPr>
          </w:p>
        </w:tc>
        <w:tc>
          <w:tcPr>
            <w:tcW w:w="1924"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电子信箱</w:t>
            </w:r>
          </w:p>
        </w:tc>
        <w:tc>
          <w:tcPr>
            <w:tcW w:w="2396" w:type="dxa"/>
            <w:gridSpan w:val="2"/>
            <w:tcBorders>
              <w:tl2br w:val="nil"/>
              <w:tr2bl w:val="nil"/>
            </w:tcBorders>
            <w:vAlign w:val="center"/>
          </w:tcPr>
          <w:p>
            <w:pPr>
              <w:spacing w:line="360" w:lineRule="auto"/>
              <w:ind w:left="-9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0"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经营范围</w:t>
            </w:r>
          </w:p>
        </w:tc>
        <w:tc>
          <w:tcPr>
            <w:tcW w:w="7716" w:type="dxa"/>
            <w:gridSpan w:val="6"/>
            <w:tcBorders>
              <w:tl2br w:val="nil"/>
              <w:tr2bl w:val="nil"/>
            </w:tcBorders>
            <w:vAlign w:val="center"/>
          </w:tcPr>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jc w:val="center"/>
        </w:trPr>
        <w:tc>
          <w:tcPr>
            <w:tcW w:w="2460" w:type="dxa"/>
            <w:tcBorders>
              <w:tl2br w:val="nil"/>
              <w:tr2bl w:val="nil"/>
            </w:tcBorders>
            <w:vAlign w:val="center"/>
          </w:tcPr>
          <w:p>
            <w:pPr>
              <w:spacing w:line="360" w:lineRule="auto"/>
              <w:ind w:left="-90"/>
              <w:jc w:val="center"/>
              <w:rPr>
                <w:rFonts w:ascii="仿宋" w:hAnsi="仿宋" w:eastAsia="仿宋" w:cs="仿宋"/>
                <w:sz w:val="28"/>
                <w:szCs w:val="28"/>
              </w:rPr>
            </w:pPr>
            <w:r>
              <w:rPr>
                <w:rFonts w:hint="eastAsia" w:ascii="仿宋" w:hAnsi="仿宋" w:eastAsia="仿宋" w:cs="仿宋"/>
                <w:spacing w:val="2"/>
                <w:kern w:val="0"/>
                <w:sz w:val="28"/>
                <w:szCs w:val="28"/>
              </w:rPr>
              <w:t>备注</w:t>
            </w:r>
          </w:p>
        </w:tc>
        <w:tc>
          <w:tcPr>
            <w:tcW w:w="7716" w:type="dxa"/>
            <w:gridSpan w:val="6"/>
            <w:tcBorders>
              <w:tl2br w:val="nil"/>
              <w:tr2bl w:val="nil"/>
            </w:tcBorders>
            <w:vAlign w:val="center"/>
          </w:tcPr>
          <w:p>
            <w:pPr>
              <w:spacing w:line="360" w:lineRule="auto"/>
              <w:ind w:left="-90"/>
              <w:jc w:val="center"/>
              <w:rPr>
                <w:rFonts w:ascii="仿宋" w:hAnsi="仿宋" w:eastAsia="仿宋" w:cs="仿宋"/>
                <w:sz w:val="28"/>
                <w:szCs w:val="28"/>
              </w:rPr>
            </w:pPr>
          </w:p>
        </w:tc>
      </w:tr>
    </w:tbl>
    <w:p>
      <w:pPr>
        <w:rPr>
          <w:b/>
        </w:rPr>
      </w:pPr>
    </w:p>
    <w:p>
      <w:pPr>
        <w:rPr>
          <w:rFonts w:ascii="仿宋_GB2312" w:eastAsia="仿宋_GB2312"/>
          <w:sz w:val="28"/>
          <w:szCs w:val="28"/>
        </w:rPr>
      </w:pPr>
      <w:r>
        <w:rPr>
          <w:rFonts w:hint="eastAsia" w:ascii="仿宋_GB2312" w:eastAsia="仿宋_GB2312"/>
          <w:sz w:val="28"/>
          <w:szCs w:val="28"/>
        </w:rPr>
        <w:t>注：如有相关人员资质，在本页后应附相关资质复印件。</w:t>
      </w:r>
    </w:p>
    <w:p>
      <w:pPr>
        <w:rPr>
          <w:rFonts w:ascii="仿宋" w:hAnsi="仿宋" w:eastAsia="仿宋" w:cs="仿宋"/>
          <w:b/>
        </w:rPr>
      </w:pPr>
      <w:r>
        <w:rPr>
          <w:rFonts w:hint="eastAsia" w:ascii="仿宋" w:hAnsi="仿宋" w:eastAsia="仿宋" w:cs="仿宋"/>
          <w:b/>
        </w:rPr>
        <w:br w:type="page"/>
      </w:r>
    </w:p>
    <w:p>
      <w:pPr>
        <w:pStyle w:val="3"/>
        <w:adjustRightInd w:val="0"/>
        <w:spacing w:before="0" w:after="0" w:line="480" w:lineRule="auto"/>
        <w:jc w:val="center"/>
        <w:rPr>
          <w:rFonts w:ascii="仿宋" w:hAnsi="仿宋" w:eastAsia="仿宋" w:cs="仿宋"/>
          <w:bCs w:val="0"/>
        </w:rPr>
      </w:pPr>
      <w:bookmarkStart w:id="129" w:name="_Toc23052"/>
      <w:bookmarkStart w:id="130" w:name="_Toc29838"/>
      <w:bookmarkStart w:id="131" w:name="_Toc24422"/>
      <w:r>
        <w:rPr>
          <w:rFonts w:hint="eastAsia" w:ascii="仿宋" w:hAnsi="仿宋" w:eastAsia="仿宋" w:cs="仿宋"/>
          <w:bCs w:val="0"/>
        </w:rPr>
        <w:t>6、</w:t>
      </w:r>
      <w:bookmarkEnd w:id="129"/>
      <w:bookmarkEnd w:id="130"/>
      <w:r>
        <w:rPr>
          <w:rFonts w:hint="eastAsia"/>
          <w:sz w:val="36"/>
          <w:szCs w:val="36"/>
        </w:rPr>
        <w:t>报价明细表</w:t>
      </w:r>
      <w:bookmarkEnd w:id="131"/>
    </w:p>
    <w:p>
      <w:pPr>
        <w:rPr>
          <w:rFonts w:ascii="仿宋" w:hAnsi="仿宋" w:eastAsia="仿宋" w:cs="仿宋"/>
          <w:sz w:val="28"/>
          <w:szCs w:val="28"/>
        </w:rPr>
      </w:pPr>
      <w:bookmarkStart w:id="132" w:name="_Toc6266"/>
      <w:bookmarkStart w:id="133" w:name="_Toc32225"/>
    </w:p>
    <w:p>
      <w:pPr>
        <w:rPr>
          <w:rFonts w:ascii="仿宋" w:hAnsi="仿宋" w:eastAsia="仿宋" w:cs="仿宋"/>
          <w:sz w:val="28"/>
          <w:szCs w:val="28"/>
        </w:rPr>
      </w:pPr>
      <w:r>
        <w:rPr>
          <w:rFonts w:hint="eastAsia" w:ascii="仿宋" w:hAnsi="仿宋" w:eastAsia="仿宋" w:cs="仿宋"/>
          <w:sz w:val="28"/>
          <w:szCs w:val="28"/>
        </w:rPr>
        <w:t xml:space="preserve">项目名称：                          项目编号：                       </w:t>
      </w:r>
    </w:p>
    <w:tbl>
      <w:tblPr>
        <w:tblStyle w:val="24"/>
        <w:tblW w:w="5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61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exact"/>
          <w:jc w:val="center"/>
        </w:trPr>
        <w:tc>
          <w:tcPr>
            <w:tcW w:w="3055" w:type="dxa"/>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服务商</w:t>
            </w:r>
            <w:r>
              <w:rPr>
                <w:rFonts w:hint="eastAsia" w:ascii="仿宋" w:hAnsi="仿宋" w:eastAsia="仿宋" w:cs="仿宋"/>
                <w:sz w:val="28"/>
                <w:szCs w:val="28"/>
              </w:rPr>
              <w:t>名称</w:t>
            </w:r>
          </w:p>
        </w:tc>
        <w:tc>
          <w:tcPr>
            <w:tcW w:w="1613" w:type="dxa"/>
            <w:vAlign w:val="center"/>
          </w:tcPr>
          <w:p>
            <w:pPr>
              <w:jc w:val="center"/>
              <w:rPr>
                <w:rFonts w:ascii="仿宋" w:hAnsi="仿宋" w:eastAsia="仿宋" w:cs="仿宋"/>
                <w:color w:val="000000"/>
                <w:sz w:val="28"/>
                <w:szCs w:val="28"/>
              </w:rPr>
            </w:pPr>
            <w:bookmarkStart w:id="134" w:name="_Toc29139"/>
            <w:bookmarkStart w:id="135" w:name="_Toc31319"/>
            <w:bookmarkStart w:id="136" w:name="_Toc32425"/>
            <w:bookmarkStart w:id="137" w:name="_Toc16458"/>
            <w:bookmarkStart w:id="138" w:name="_Toc13498"/>
            <w:r>
              <w:rPr>
                <w:rFonts w:hint="eastAsia" w:ascii="仿宋" w:hAnsi="仿宋" w:eastAsia="仿宋" w:cs="仿宋"/>
                <w:sz w:val="28"/>
                <w:szCs w:val="28"/>
                <w:lang w:eastAsia="zh-CN"/>
              </w:rPr>
              <w:t>金额</w:t>
            </w:r>
            <w:r>
              <w:rPr>
                <w:rFonts w:hint="eastAsia" w:ascii="仿宋" w:hAnsi="仿宋" w:eastAsia="仿宋" w:cs="仿宋"/>
                <w:sz w:val="28"/>
                <w:szCs w:val="28"/>
              </w:rPr>
              <w:t>（元）</w:t>
            </w:r>
          </w:p>
          <w:bookmarkEnd w:id="134"/>
          <w:bookmarkEnd w:id="135"/>
          <w:bookmarkEnd w:id="136"/>
          <w:bookmarkEnd w:id="137"/>
          <w:bookmarkEnd w:id="138"/>
        </w:tc>
        <w:tc>
          <w:tcPr>
            <w:tcW w:w="94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jc w:val="center"/>
        </w:trPr>
        <w:tc>
          <w:tcPr>
            <w:tcW w:w="3055" w:type="dxa"/>
            <w:vAlign w:val="center"/>
          </w:tcPr>
          <w:p>
            <w:pPr>
              <w:jc w:val="center"/>
              <w:rPr>
                <w:rFonts w:ascii="仿宋" w:hAnsi="仿宋" w:eastAsia="仿宋" w:cs="仿宋"/>
                <w:sz w:val="28"/>
                <w:szCs w:val="28"/>
              </w:rPr>
            </w:pPr>
          </w:p>
        </w:tc>
        <w:tc>
          <w:tcPr>
            <w:tcW w:w="1613" w:type="dxa"/>
            <w:vAlign w:val="center"/>
          </w:tcPr>
          <w:p>
            <w:pPr>
              <w:jc w:val="center"/>
              <w:rPr>
                <w:rFonts w:ascii="仿宋" w:hAnsi="仿宋" w:eastAsia="仿宋" w:cs="仿宋"/>
                <w:sz w:val="28"/>
                <w:szCs w:val="28"/>
              </w:rPr>
            </w:pPr>
          </w:p>
        </w:tc>
        <w:tc>
          <w:tcPr>
            <w:tcW w:w="945" w:type="dxa"/>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4"/>
          <w:szCs w:val="24"/>
        </w:rPr>
        <w:t xml:space="preserve"> 注：供应商必须按“报价明细表”的格式报出总价，否则作无效响应处理。若服务内容为一项，则只需报出一个价格。</w:t>
      </w:r>
    </w:p>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ascii="仿宋" w:hAnsi="仿宋" w:eastAsia="仿宋" w:cs="仿宋"/>
          <w:b/>
          <w:kern w:val="0"/>
          <w:sz w:val="32"/>
          <w:szCs w:val="32"/>
        </w:rPr>
      </w:pPr>
      <w:r>
        <w:rPr>
          <w:rFonts w:hint="eastAsia" w:ascii="仿宋" w:hAnsi="仿宋" w:eastAsia="仿宋" w:cs="仿宋"/>
          <w:b/>
          <w:kern w:val="0"/>
          <w:sz w:val="32"/>
          <w:szCs w:val="32"/>
        </w:rPr>
        <w:t>7、</w:t>
      </w:r>
      <w:r>
        <w:rPr>
          <w:rFonts w:hint="eastAsia" w:ascii="仿宋" w:hAnsi="仿宋" w:eastAsia="仿宋" w:cs="仿宋"/>
          <w:b/>
          <w:kern w:val="0"/>
          <w:sz w:val="32"/>
          <w:szCs w:val="32"/>
          <w:lang w:eastAsia="zh-CN"/>
        </w:rPr>
        <w:t>总体</w:t>
      </w:r>
      <w:r>
        <w:rPr>
          <w:rFonts w:hint="eastAsia" w:ascii="仿宋" w:hAnsi="仿宋" w:eastAsia="仿宋" w:cs="仿宋"/>
          <w:b/>
          <w:kern w:val="0"/>
          <w:sz w:val="32"/>
          <w:szCs w:val="32"/>
        </w:rPr>
        <w:t>要求应答表</w:t>
      </w:r>
      <w:bookmarkEnd w:id="132"/>
      <w:bookmarkEnd w:id="133"/>
    </w:p>
    <w:tbl>
      <w:tblPr>
        <w:tblStyle w:val="24"/>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sz w:val="28"/>
                <w:szCs w:val="28"/>
              </w:rPr>
              <w:t>序号</w:t>
            </w: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比选文件要求</w:t>
            </w:r>
          </w:p>
        </w:tc>
        <w:tc>
          <w:tcPr>
            <w:tcW w:w="4651" w:type="dxa"/>
            <w:vAlign w:val="center"/>
          </w:tcPr>
          <w:p>
            <w:pPr>
              <w:jc w:val="center"/>
              <w:rPr>
                <w:rFonts w:ascii="仿宋" w:hAnsi="仿宋" w:eastAsia="仿宋" w:cs="仿宋"/>
                <w:sz w:val="28"/>
                <w:szCs w:val="28"/>
              </w:rPr>
            </w:pPr>
            <w:r>
              <w:rPr>
                <w:rFonts w:hint="eastAsia" w:ascii="仿宋" w:hAnsi="仿宋" w:eastAsia="仿宋" w:cs="仿宋"/>
                <w:sz w:val="28"/>
                <w:szCs w:val="28"/>
              </w:rPr>
              <w:t>响应作答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（格式栏自行增减）</w:t>
            </w:r>
          </w:p>
        </w:tc>
        <w:tc>
          <w:tcPr>
            <w:tcW w:w="4651" w:type="dxa"/>
            <w:vAlign w:val="center"/>
          </w:tcPr>
          <w:p>
            <w:pPr>
              <w:jc w:val="center"/>
              <w:rPr>
                <w:rFonts w:ascii="仿宋" w:hAnsi="仿宋" w:eastAsia="仿宋" w:cs="仿宋"/>
                <w:sz w:val="28"/>
                <w:szCs w:val="28"/>
              </w:rPr>
            </w:pPr>
          </w:p>
        </w:tc>
      </w:tr>
    </w:tbl>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注：供应商必须按第三章 项目需求逐条据实填写，不得虚假应答，否则将取消其成交资格。</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adjustRightInd w:val="0"/>
        <w:spacing w:before="0" w:after="0" w:line="480" w:lineRule="auto"/>
        <w:jc w:val="center"/>
        <w:rPr>
          <w:rFonts w:ascii="仿宋" w:hAnsi="仿宋" w:eastAsia="仿宋" w:cs="仿宋"/>
          <w:bCs w:val="0"/>
        </w:rPr>
      </w:pPr>
      <w:bookmarkStart w:id="139" w:name="_Toc4330"/>
      <w:bookmarkStart w:id="140" w:name="_Toc11606"/>
      <w:bookmarkStart w:id="141" w:name="_Toc19509"/>
      <w:r>
        <w:rPr>
          <w:rFonts w:hint="eastAsia" w:ascii="仿宋" w:hAnsi="仿宋" w:eastAsia="仿宋" w:cs="仿宋"/>
          <w:bCs w:val="0"/>
        </w:rPr>
        <w:t>8、商务、服务要求应答表</w:t>
      </w:r>
      <w:bookmarkEnd w:id="139"/>
    </w:p>
    <w:p>
      <w:pPr>
        <w:jc w:val="center"/>
        <w:rPr>
          <w:rFonts w:ascii="仿宋" w:hAnsi="仿宋" w:eastAsia="仿宋" w:cs="仿宋"/>
          <w:b/>
          <w:bCs/>
          <w:sz w:val="28"/>
          <w:szCs w:val="28"/>
        </w:rPr>
      </w:pPr>
      <w:r>
        <w:rPr>
          <w:rFonts w:hint="eastAsia" w:ascii="仿宋" w:hAnsi="仿宋" w:eastAsia="仿宋" w:cs="仿宋"/>
          <w:b/>
          <w:bCs/>
          <w:sz w:val="28"/>
          <w:szCs w:val="28"/>
        </w:rPr>
        <w:t>（比选申请人应针对第三章项目需求中的所有商务、服务要求逐项应答）</w:t>
      </w:r>
    </w:p>
    <w:p/>
    <w:tbl>
      <w:tblPr>
        <w:tblStyle w:val="24"/>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tblPrEx>
          <w:tblLayout w:type="fixed"/>
          <w:tblCellMar>
            <w:top w:w="0" w:type="dxa"/>
            <w:left w:w="108" w:type="dxa"/>
            <w:bottom w:w="0" w:type="dxa"/>
            <w:right w:w="108" w:type="dxa"/>
          </w:tblCellMar>
        </w:tblPrEx>
        <w:trPr>
          <w:trHeight w:val="606"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sz w:val="28"/>
                <w:szCs w:val="28"/>
              </w:rPr>
              <w:t>序号</w:t>
            </w: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比选文件要求</w:t>
            </w:r>
          </w:p>
        </w:tc>
        <w:tc>
          <w:tcPr>
            <w:tcW w:w="4651" w:type="dxa"/>
            <w:vAlign w:val="center"/>
          </w:tcPr>
          <w:p>
            <w:pPr>
              <w:jc w:val="center"/>
              <w:rPr>
                <w:rFonts w:ascii="仿宋" w:hAnsi="仿宋" w:eastAsia="仿宋" w:cs="仿宋"/>
                <w:sz w:val="28"/>
                <w:szCs w:val="28"/>
              </w:rPr>
            </w:pPr>
            <w:r>
              <w:rPr>
                <w:rFonts w:hint="eastAsia" w:ascii="仿宋" w:hAnsi="仿宋" w:eastAsia="仿宋" w:cs="仿宋"/>
                <w:sz w:val="28"/>
                <w:szCs w:val="28"/>
              </w:rPr>
              <w:t>响应作答</w:t>
            </w:r>
          </w:p>
          <w:p>
            <w:pPr>
              <w:jc w:val="center"/>
              <w:rPr>
                <w:rFonts w:ascii="仿宋" w:hAnsi="仿宋" w:eastAsia="仿宋" w:cs="仿宋"/>
                <w:sz w:val="28"/>
                <w:szCs w:val="28"/>
              </w:rPr>
            </w:pPr>
            <w:r>
              <w:rPr>
                <w:rFonts w:hint="eastAsia" w:ascii="仿宋" w:hAnsi="仿宋" w:eastAsia="仿宋" w:cs="仿宋"/>
                <w:sz w:val="28"/>
                <w:szCs w:val="28"/>
              </w:rPr>
              <w:t>（是否满足，填“是”表示完全满足无偏离，填“否”表示不完全满足有偏离，请说明理由）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p>
        </w:tc>
        <w:tc>
          <w:tcPr>
            <w:tcW w:w="4651"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94" w:type="dxa"/>
            <w:vAlign w:val="center"/>
          </w:tcPr>
          <w:p>
            <w:pPr>
              <w:jc w:val="center"/>
              <w:rPr>
                <w:rFonts w:ascii="仿宋" w:hAnsi="仿宋" w:eastAsia="仿宋" w:cs="仿宋"/>
                <w:sz w:val="28"/>
                <w:szCs w:val="28"/>
              </w:rPr>
            </w:pPr>
          </w:p>
        </w:tc>
        <w:tc>
          <w:tcPr>
            <w:tcW w:w="4290" w:type="dxa"/>
            <w:vAlign w:val="center"/>
          </w:tcPr>
          <w:p>
            <w:pPr>
              <w:jc w:val="center"/>
              <w:rPr>
                <w:rFonts w:ascii="仿宋" w:hAnsi="仿宋" w:eastAsia="仿宋" w:cs="仿宋"/>
                <w:sz w:val="28"/>
                <w:szCs w:val="28"/>
              </w:rPr>
            </w:pPr>
            <w:r>
              <w:rPr>
                <w:rFonts w:hint="eastAsia" w:ascii="仿宋" w:hAnsi="仿宋" w:eastAsia="仿宋" w:cs="仿宋"/>
                <w:sz w:val="28"/>
                <w:szCs w:val="28"/>
              </w:rPr>
              <w:t>（格式栏自行增减）</w:t>
            </w:r>
          </w:p>
        </w:tc>
        <w:tc>
          <w:tcPr>
            <w:tcW w:w="4651" w:type="dxa"/>
            <w:vAlign w:val="center"/>
          </w:tcPr>
          <w:p>
            <w:pPr>
              <w:jc w:val="center"/>
              <w:rPr>
                <w:rFonts w:ascii="仿宋" w:hAnsi="仿宋" w:eastAsia="仿宋" w:cs="仿宋"/>
                <w:sz w:val="28"/>
                <w:szCs w:val="28"/>
              </w:rPr>
            </w:pPr>
          </w:p>
        </w:tc>
      </w:tr>
    </w:tbl>
    <w:p>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注：供应商必须按第三章 项目需求逐条据实填写，不得虚假应答，否则将取消其成交资格。</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rPr>
      </w:pPr>
    </w:p>
    <w:p>
      <w:pPr>
        <w:pStyle w:val="3"/>
        <w:adjustRightInd w:val="0"/>
        <w:spacing w:before="0" w:after="0" w:line="480" w:lineRule="auto"/>
        <w:jc w:val="center"/>
        <w:rPr>
          <w:rFonts w:ascii="仿宋" w:hAnsi="仿宋" w:eastAsia="仿宋" w:cs="仿宋"/>
          <w:bCs w:val="0"/>
        </w:rPr>
      </w:pPr>
      <w:bookmarkStart w:id="142" w:name="_Toc24148"/>
      <w:r>
        <w:rPr>
          <w:rFonts w:hint="eastAsia" w:ascii="仿宋" w:hAnsi="仿宋" w:eastAsia="仿宋" w:cs="仿宋"/>
          <w:bCs w:val="0"/>
        </w:rPr>
        <w:t>9、拟投入本项目的人员情况</w:t>
      </w:r>
      <w:bookmarkEnd w:id="142"/>
    </w:p>
    <w:tbl>
      <w:tblPr>
        <w:tblStyle w:val="24"/>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830"/>
        <w:gridCol w:w="1275"/>
        <w:gridCol w:w="1359"/>
        <w:gridCol w:w="992"/>
        <w:gridCol w:w="981"/>
        <w:gridCol w:w="96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类别</w:t>
            </w:r>
          </w:p>
        </w:tc>
        <w:tc>
          <w:tcPr>
            <w:tcW w:w="1830"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职务</w:t>
            </w:r>
          </w:p>
        </w:tc>
        <w:tc>
          <w:tcPr>
            <w:tcW w:w="1275"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1359"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常住地</w:t>
            </w:r>
          </w:p>
        </w:tc>
        <w:tc>
          <w:tcPr>
            <w:tcW w:w="4084" w:type="dxa"/>
            <w:gridSpan w:val="4"/>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Merge w:val="continue"/>
            <w:vAlign w:val="center"/>
          </w:tcPr>
          <w:p>
            <w:pPr>
              <w:spacing w:line="360" w:lineRule="auto"/>
              <w:jc w:val="center"/>
              <w:rPr>
                <w:rFonts w:ascii="仿宋" w:hAnsi="仿宋" w:eastAsia="仿宋" w:cs="仿宋"/>
                <w:sz w:val="28"/>
                <w:szCs w:val="28"/>
              </w:rPr>
            </w:pPr>
          </w:p>
        </w:tc>
        <w:tc>
          <w:tcPr>
            <w:tcW w:w="1275" w:type="dxa"/>
            <w:vMerge w:val="continue"/>
            <w:vAlign w:val="center"/>
          </w:tcPr>
          <w:p>
            <w:pPr>
              <w:spacing w:line="360" w:lineRule="auto"/>
              <w:jc w:val="center"/>
              <w:rPr>
                <w:rFonts w:ascii="仿宋" w:hAnsi="仿宋" w:eastAsia="仿宋" w:cs="仿宋"/>
                <w:sz w:val="28"/>
                <w:szCs w:val="28"/>
              </w:rPr>
            </w:pPr>
          </w:p>
        </w:tc>
        <w:tc>
          <w:tcPr>
            <w:tcW w:w="1359" w:type="dxa"/>
            <w:vMerge w:val="continue"/>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证书</w:t>
            </w:r>
          </w:p>
          <w:p>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9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级别</w:t>
            </w:r>
          </w:p>
        </w:tc>
        <w:tc>
          <w:tcPr>
            <w:tcW w:w="96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证号</w:t>
            </w:r>
          </w:p>
        </w:tc>
        <w:tc>
          <w:tcPr>
            <w:tcW w:w="11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管理人员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restar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人员</w:t>
            </w: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08" w:type="dxa"/>
            <w:vMerge w:val="continue"/>
            <w:vAlign w:val="center"/>
          </w:tcPr>
          <w:p>
            <w:pPr>
              <w:spacing w:line="360" w:lineRule="auto"/>
              <w:jc w:val="center"/>
              <w:rPr>
                <w:rFonts w:ascii="仿宋" w:hAnsi="仿宋" w:eastAsia="仿宋" w:cs="仿宋"/>
                <w:sz w:val="28"/>
                <w:szCs w:val="28"/>
              </w:rPr>
            </w:pPr>
          </w:p>
        </w:tc>
        <w:tc>
          <w:tcPr>
            <w:tcW w:w="1830" w:type="dxa"/>
            <w:vAlign w:val="center"/>
          </w:tcPr>
          <w:p>
            <w:pPr>
              <w:spacing w:line="360" w:lineRule="auto"/>
              <w:jc w:val="center"/>
              <w:rPr>
                <w:rFonts w:ascii="仿宋" w:hAnsi="仿宋" w:eastAsia="仿宋" w:cs="仿宋"/>
                <w:sz w:val="28"/>
                <w:szCs w:val="28"/>
              </w:rPr>
            </w:pPr>
          </w:p>
        </w:tc>
        <w:tc>
          <w:tcPr>
            <w:tcW w:w="1275" w:type="dxa"/>
            <w:vAlign w:val="center"/>
          </w:tcPr>
          <w:p>
            <w:pPr>
              <w:spacing w:line="360" w:lineRule="auto"/>
              <w:jc w:val="center"/>
              <w:rPr>
                <w:rFonts w:ascii="仿宋" w:hAnsi="仿宋" w:eastAsia="仿宋" w:cs="仿宋"/>
                <w:sz w:val="28"/>
                <w:szCs w:val="28"/>
              </w:rPr>
            </w:pPr>
          </w:p>
        </w:tc>
        <w:tc>
          <w:tcPr>
            <w:tcW w:w="1359" w:type="dxa"/>
            <w:vAlign w:val="center"/>
          </w:tcPr>
          <w:p>
            <w:pPr>
              <w:spacing w:line="360" w:lineRule="auto"/>
              <w:jc w:val="center"/>
              <w:rPr>
                <w:rFonts w:ascii="仿宋" w:hAnsi="仿宋" w:eastAsia="仿宋" w:cs="仿宋"/>
                <w:sz w:val="28"/>
                <w:szCs w:val="28"/>
              </w:rPr>
            </w:pPr>
          </w:p>
        </w:tc>
        <w:tc>
          <w:tcPr>
            <w:tcW w:w="992" w:type="dxa"/>
            <w:vAlign w:val="center"/>
          </w:tcPr>
          <w:p>
            <w:pPr>
              <w:spacing w:line="360" w:lineRule="auto"/>
              <w:jc w:val="center"/>
              <w:rPr>
                <w:rFonts w:ascii="仿宋" w:hAnsi="仿宋" w:eastAsia="仿宋" w:cs="仿宋"/>
                <w:sz w:val="28"/>
                <w:szCs w:val="28"/>
              </w:rPr>
            </w:pPr>
          </w:p>
        </w:tc>
        <w:tc>
          <w:tcPr>
            <w:tcW w:w="981" w:type="dxa"/>
            <w:vAlign w:val="center"/>
          </w:tcPr>
          <w:p>
            <w:pPr>
              <w:spacing w:line="360" w:lineRule="auto"/>
              <w:jc w:val="center"/>
              <w:rPr>
                <w:rFonts w:ascii="仿宋" w:hAnsi="仿宋" w:eastAsia="仿宋" w:cs="仿宋"/>
                <w:sz w:val="28"/>
                <w:szCs w:val="28"/>
              </w:rPr>
            </w:pPr>
          </w:p>
        </w:tc>
        <w:tc>
          <w:tcPr>
            <w:tcW w:w="969" w:type="dxa"/>
            <w:vAlign w:val="center"/>
          </w:tcPr>
          <w:p>
            <w:pPr>
              <w:spacing w:line="360" w:lineRule="auto"/>
              <w:jc w:val="center"/>
              <w:rPr>
                <w:rFonts w:ascii="仿宋" w:hAnsi="仿宋" w:eastAsia="仿宋" w:cs="仿宋"/>
                <w:sz w:val="28"/>
                <w:szCs w:val="28"/>
              </w:rPr>
            </w:pPr>
          </w:p>
        </w:tc>
        <w:tc>
          <w:tcPr>
            <w:tcW w:w="1142" w:type="dxa"/>
            <w:vAlign w:val="center"/>
          </w:tcPr>
          <w:p>
            <w:pPr>
              <w:spacing w:line="360" w:lineRule="auto"/>
              <w:jc w:val="center"/>
              <w:rPr>
                <w:rFonts w:ascii="仿宋" w:hAnsi="仿宋" w:eastAsia="仿宋" w:cs="仿宋"/>
                <w:sz w:val="28"/>
                <w:szCs w:val="28"/>
              </w:rPr>
            </w:pPr>
          </w:p>
        </w:tc>
      </w:tr>
    </w:tbl>
    <w:p>
      <w:pPr>
        <w:spacing w:line="420" w:lineRule="auto"/>
        <w:ind w:firstLine="480"/>
        <w:rPr>
          <w:rFonts w:ascii="宋体" w:hAnsi="宋体"/>
          <w:b/>
          <w:bCs/>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ind w:firstLine="480"/>
        <w:rPr>
          <w:rFonts w:ascii="仿宋" w:hAnsi="仿宋" w:eastAsia="仿宋" w:cs="仿宋"/>
          <w:sz w:val="28"/>
          <w:szCs w:val="28"/>
          <w:u w:val="single"/>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spacing w:line="360" w:lineRule="auto"/>
        <w:ind w:firstLine="480"/>
        <w:rPr>
          <w:rFonts w:ascii="仿宋" w:hAnsi="仿宋" w:eastAsia="仿宋" w:cs="仿宋"/>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outlineLvl w:val="1"/>
        <w:rPr>
          <w:rFonts w:ascii="仿宋" w:hAnsi="仿宋" w:eastAsia="仿宋" w:cs="仿宋"/>
          <w:b/>
          <w:kern w:val="0"/>
          <w:sz w:val="32"/>
          <w:szCs w:val="32"/>
        </w:rPr>
      </w:pPr>
      <w:bookmarkStart w:id="143" w:name="_Toc15596"/>
      <w:r>
        <w:rPr>
          <w:rFonts w:hint="eastAsia" w:ascii="仿宋" w:hAnsi="仿宋" w:eastAsia="仿宋" w:cs="仿宋"/>
          <w:b/>
          <w:kern w:val="0"/>
          <w:sz w:val="32"/>
          <w:szCs w:val="32"/>
        </w:rPr>
        <w:t>10、供应商诚信情况承诺函</w:t>
      </w:r>
      <w:bookmarkEnd w:id="143"/>
    </w:p>
    <w:p>
      <w:pPr>
        <w:spacing w:line="360" w:lineRule="auto"/>
        <w:rPr>
          <w:rFonts w:ascii="仿宋" w:hAnsi="仿宋" w:eastAsia="仿宋" w:cs="仿宋"/>
        </w:rPr>
      </w:pPr>
    </w:p>
    <w:p>
      <w:pPr>
        <w:spacing w:line="360" w:lineRule="auto"/>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本单位</w:t>
      </w:r>
      <w:r>
        <w:rPr>
          <w:rFonts w:hint="eastAsia" w:ascii="仿宋" w:hAnsi="仿宋" w:eastAsia="仿宋" w:cs="仿宋"/>
          <w:sz w:val="28"/>
          <w:szCs w:val="28"/>
          <w:u w:val="single"/>
        </w:rPr>
        <w:t xml:space="preserve">          （供应商名称）</w:t>
      </w:r>
      <w:r>
        <w:rPr>
          <w:rFonts w:hint="eastAsia" w:ascii="仿宋" w:hAnsi="仿宋" w:eastAsia="仿宋" w:cs="仿宋"/>
          <w:sz w:val="28"/>
          <w:szCs w:val="28"/>
        </w:rPr>
        <w:t>参加</w:t>
      </w:r>
      <w:r>
        <w:rPr>
          <w:rFonts w:hint="eastAsia" w:ascii="仿宋" w:hAnsi="仿宋" w:eastAsia="仿宋" w:cs="仿宋"/>
          <w:sz w:val="28"/>
          <w:szCs w:val="28"/>
          <w:u w:val="single"/>
        </w:rPr>
        <w:t xml:space="preserve">          （项目名称及采购编号）</w:t>
      </w:r>
      <w:r>
        <w:rPr>
          <w:rFonts w:hint="eastAsia" w:ascii="仿宋" w:hAnsi="仿宋" w:eastAsia="仿宋" w:cs="仿宋"/>
          <w:sz w:val="28"/>
          <w:szCs w:val="28"/>
        </w:rPr>
        <w:t>的政府采购活动，现根据相关规定，针对本单位的诚信情况做出以下承诺：</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bCs/>
          <w:sz w:val="28"/>
          <w:szCs w:val="28"/>
        </w:rPr>
        <w:t xml:space="preserve">    我单位具有</w:t>
      </w:r>
      <w:r>
        <w:rPr>
          <w:rFonts w:hint="eastAsia" w:ascii="仿宋" w:hAnsi="仿宋" w:eastAsia="仿宋" w:cs="仿宋"/>
          <w:sz w:val="28"/>
          <w:szCs w:val="28"/>
        </w:rPr>
        <w:t>失信行为</w:t>
      </w:r>
      <w:r>
        <w:rPr>
          <w:rFonts w:hint="eastAsia" w:ascii="仿宋" w:hAnsi="仿宋" w:eastAsia="仿宋" w:cs="仿宋"/>
          <w:sz w:val="28"/>
          <w:szCs w:val="28"/>
          <w:u w:val="single"/>
        </w:rPr>
        <w:t xml:space="preserve">      </w:t>
      </w:r>
      <w:r>
        <w:rPr>
          <w:rFonts w:hint="eastAsia" w:ascii="仿宋" w:hAnsi="仿宋" w:eastAsia="仿宋" w:cs="仿宋"/>
          <w:sz w:val="28"/>
          <w:szCs w:val="28"/>
        </w:rPr>
        <w:t>次（填写失信行为的次数时，建议使用大写数字，如零、壹、贰、叁、肆等。）；</w:t>
      </w:r>
      <w:r>
        <w:rPr>
          <w:rFonts w:hint="eastAsia" w:ascii="仿宋" w:hAnsi="仿宋" w:eastAsia="仿宋" w:cs="仿宋"/>
          <w:bCs/>
          <w:sz w:val="28"/>
          <w:szCs w:val="28"/>
        </w:rPr>
        <w:t>（仅限投标截止当日仍在有效期的次数）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我</w:t>
      </w:r>
      <w:r>
        <w:rPr>
          <w:rFonts w:hint="eastAsia" w:ascii="仿宋" w:hAnsi="仿宋" w:eastAsia="仿宋" w:cs="仿宋"/>
          <w:bCs/>
          <w:sz w:val="28"/>
          <w:szCs w:val="28"/>
        </w:rPr>
        <w:t>单位</w:t>
      </w:r>
      <w:r>
        <w:rPr>
          <w:rFonts w:hint="eastAsia" w:ascii="仿宋" w:hAnsi="仿宋" w:eastAsia="仿宋" w:cs="仿宋"/>
          <w:sz w:val="28"/>
          <w:szCs w:val="28"/>
        </w:rPr>
        <w:t>对以上填写信息的真实性负责。如有不实，本</w:t>
      </w:r>
      <w:r>
        <w:rPr>
          <w:rFonts w:hint="eastAsia" w:ascii="仿宋" w:hAnsi="仿宋" w:eastAsia="仿宋" w:cs="仿宋"/>
          <w:bCs/>
          <w:sz w:val="28"/>
          <w:szCs w:val="28"/>
        </w:rPr>
        <w:t>单位</w:t>
      </w:r>
      <w:r>
        <w:rPr>
          <w:rFonts w:hint="eastAsia" w:ascii="仿宋" w:hAnsi="仿宋" w:eastAsia="仿宋" w:cs="仿宋"/>
          <w:sz w:val="28"/>
          <w:szCs w:val="28"/>
        </w:rPr>
        <w:t>愿承担由此产生的一切法律责任和后果。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法定代表人或授权代表（签字或盖章）：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Cs/>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注：1.本表格式及内容仅供参考，</w:t>
      </w:r>
      <w:r>
        <w:rPr>
          <w:rFonts w:hint="eastAsia" w:ascii="仿宋" w:hAnsi="仿宋" w:eastAsia="仿宋" w:cs="仿宋"/>
          <w:sz w:val="28"/>
          <w:szCs w:val="28"/>
          <w:lang w:eastAsia="zh-CN"/>
        </w:rPr>
        <w:t>供应商</w:t>
      </w:r>
      <w:r>
        <w:rPr>
          <w:rFonts w:hint="eastAsia" w:ascii="仿宋" w:hAnsi="仿宋" w:eastAsia="仿宋" w:cs="仿宋"/>
          <w:sz w:val="28"/>
          <w:szCs w:val="28"/>
        </w:rPr>
        <w:t>也可提供自己的格式；</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2.供应商存在以上所述失信行为的，将按照第二章</w:t>
      </w:r>
      <w:r>
        <w:rPr>
          <w:rFonts w:hint="eastAsia" w:ascii="仿宋" w:hAnsi="仿宋" w:eastAsia="仿宋" w:cs="仿宋"/>
          <w:sz w:val="28"/>
          <w:szCs w:val="28"/>
          <w:lang w:eastAsia="zh-CN"/>
        </w:rPr>
        <w:t>供应商</w:t>
      </w:r>
      <w:r>
        <w:rPr>
          <w:rFonts w:hint="eastAsia" w:ascii="仿宋" w:hAnsi="仿宋" w:eastAsia="仿宋" w:cs="仿宋"/>
          <w:sz w:val="28"/>
          <w:szCs w:val="28"/>
        </w:rPr>
        <w:t>须知附表的要求进行处理；</w:t>
      </w:r>
    </w:p>
    <w:p>
      <w:pPr>
        <w:spacing w:line="360" w:lineRule="auto"/>
        <w:rPr>
          <w:rFonts w:ascii="仿宋" w:hAnsi="仿宋" w:eastAsia="仿宋" w:cs="仿宋"/>
          <w:sz w:val="28"/>
          <w:szCs w:val="28"/>
        </w:rPr>
      </w:pPr>
      <w:r>
        <w:rPr>
          <w:rFonts w:hint="eastAsia" w:ascii="仿宋" w:hAnsi="仿宋" w:eastAsia="仿宋" w:cs="仿宋"/>
          <w:bCs/>
          <w:sz w:val="28"/>
          <w:szCs w:val="28"/>
        </w:rPr>
        <w:t xml:space="preserve">    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仿宋" w:hAnsi="仿宋" w:eastAsia="仿宋" w:cs="仿宋"/>
          <w:sz w:val="28"/>
          <w:szCs w:val="28"/>
        </w:rPr>
        <w:t>确了有效期的，不再重复计算。</w:t>
      </w:r>
    </w:p>
    <w:p>
      <w:pPr>
        <w:spacing w:line="360" w:lineRule="auto"/>
        <w:rPr>
          <w:rFonts w:ascii="仿宋" w:hAnsi="仿宋" w:eastAsia="仿宋" w:cs="仿宋"/>
          <w:sz w:val="28"/>
          <w:szCs w:val="28"/>
        </w:rPr>
        <w:sectPr>
          <w:pgSz w:w="11907" w:h="16839"/>
          <w:pgMar w:top="1361" w:right="1644" w:bottom="1361" w:left="1644" w:header="737" w:footer="737" w:gutter="0"/>
          <w:cols w:space="720" w:num="1"/>
          <w:titlePg/>
          <w:docGrid w:linePitch="326" w:charSpace="0"/>
        </w:sectPr>
      </w:pPr>
      <w:r>
        <w:rPr>
          <w:rFonts w:hint="eastAsia" w:ascii="仿宋" w:hAnsi="仿宋" w:eastAsia="仿宋" w:cs="仿宋"/>
          <w:sz w:val="28"/>
          <w:szCs w:val="28"/>
        </w:rPr>
        <w:t xml:space="preserve">    4.供应商</w:t>
      </w:r>
      <w:r>
        <w:rPr>
          <w:rFonts w:hint="eastAsia" w:ascii="仿宋" w:hAnsi="仿宋" w:eastAsia="仿宋" w:cs="仿宋"/>
          <w:bCs/>
          <w:sz w:val="28"/>
          <w:szCs w:val="28"/>
        </w:rPr>
        <w:t>的失信行为受到行政处罚或司法惩处的，评审时不再对其以价格加成进行惩戒。</w:t>
      </w:r>
    </w:p>
    <w:p>
      <w:pPr>
        <w:jc w:val="center"/>
        <w:rPr>
          <w:rFonts w:ascii="仿宋" w:hAnsi="仿宋" w:eastAsia="仿宋" w:cs="仿宋"/>
          <w:b/>
          <w:bCs/>
          <w:sz w:val="36"/>
          <w:szCs w:val="36"/>
        </w:rPr>
      </w:pPr>
      <w:r>
        <w:rPr>
          <w:rFonts w:hint="eastAsia" w:ascii="仿宋" w:hAnsi="仿宋" w:eastAsia="仿宋" w:cs="仿宋"/>
          <w:b/>
          <w:kern w:val="0"/>
          <w:sz w:val="32"/>
          <w:szCs w:val="32"/>
        </w:rPr>
        <w:t>11、中小企业声明函（</w:t>
      </w:r>
      <w:r>
        <w:rPr>
          <w:rFonts w:hint="eastAsia" w:ascii="仿宋" w:hAnsi="仿宋" w:eastAsia="仿宋" w:cs="仿宋"/>
          <w:b/>
          <w:kern w:val="0"/>
          <w:sz w:val="32"/>
          <w:szCs w:val="32"/>
          <w:lang w:eastAsia="zh-CN"/>
        </w:rPr>
        <w:t>服务</w:t>
      </w:r>
      <w:r>
        <w:rPr>
          <w:rFonts w:hint="eastAsia" w:ascii="仿宋" w:hAnsi="仿宋" w:eastAsia="仿宋" w:cs="仿宋"/>
          <w:b/>
          <w:kern w:val="0"/>
          <w:sz w:val="32"/>
          <w:szCs w:val="32"/>
        </w:rPr>
        <w:t>）</w:t>
      </w:r>
    </w:p>
    <w:p>
      <w:pPr>
        <w:rPr>
          <w:rFonts w:ascii="仿宋" w:hAnsi="仿宋" w:eastAsia="仿宋" w:cs="仿宋"/>
        </w:rPr>
      </w:pPr>
    </w:p>
    <w:p>
      <w:pPr>
        <w:spacing w:line="360" w:lineRule="auto"/>
        <w:ind w:firstLine="504" w:firstLineChars="200"/>
        <w:jc w:val="left"/>
        <w:rPr>
          <w:rFonts w:ascii="仿宋" w:hAnsi="仿宋" w:eastAsia="仿宋" w:cs="仿宋"/>
          <w:spacing w:val="6"/>
          <w:sz w:val="24"/>
          <w:szCs w:val="24"/>
        </w:rPr>
      </w:pP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本公司（联合体）郑重声明，根据《政府采购促进中小企业发展管理办法》（财库﹝2020﹞46 号）的规定，本公司参加 （单位名称） 的 （项目名称） 采购活动，提供的货物全部由符合政策要求的中小企业制造。相关企业的具体情况如下：</w:t>
      </w:r>
    </w:p>
    <w:p>
      <w:pPr>
        <w:numPr>
          <w:ilvl w:val="0"/>
          <w:numId w:val="0"/>
        </w:numPr>
        <w:spacing w:line="360" w:lineRule="auto"/>
        <w:jc w:val="left"/>
        <w:rPr>
          <w:rFonts w:ascii="仿宋" w:hAnsi="仿宋" w:eastAsia="仿宋" w:cs="仿宋"/>
          <w:spacing w:val="6"/>
          <w:sz w:val="28"/>
          <w:szCs w:val="28"/>
        </w:rPr>
      </w:pPr>
      <w:r>
        <w:rPr>
          <w:rFonts w:hint="eastAsia" w:ascii="仿宋" w:hAnsi="仿宋" w:eastAsia="仿宋" w:cs="仿宋"/>
          <w:spacing w:val="6"/>
          <w:sz w:val="28"/>
          <w:szCs w:val="28"/>
          <w:u w:val="single"/>
        </w:rPr>
        <w:t>（标的名称）</w:t>
      </w:r>
      <w:r>
        <w:rPr>
          <w:rFonts w:hint="eastAsia" w:ascii="仿宋" w:hAnsi="仿宋" w:eastAsia="仿宋" w:cs="仿宋"/>
          <w:spacing w:val="6"/>
          <w:sz w:val="28"/>
          <w:szCs w:val="28"/>
        </w:rPr>
        <w:t>，属于</w:t>
      </w:r>
      <w:r>
        <w:rPr>
          <w:rFonts w:hint="eastAsia" w:ascii="仿宋" w:hAnsi="仿宋" w:eastAsia="仿宋" w:cs="仿宋"/>
          <w:spacing w:val="6"/>
          <w:sz w:val="28"/>
          <w:szCs w:val="28"/>
          <w:u w:val="single"/>
        </w:rPr>
        <w:t>（采购文件中明确的所属行业）</w:t>
      </w:r>
      <w:r>
        <w:rPr>
          <w:rFonts w:hint="eastAsia" w:ascii="仿宋" w:hAnsi="仿宋" w:eastAsia="仿宋" w:cs="仿宋"/>
          <w:spacing w:val="6"/>
          <w:sz w:val="28"/>
          <w:szCs w:val="28"/>
        </w:rPr>
        <w:t>行业；</w:t>
      </w:r>
      <w:r>
        <w:rPr>
          <w:rFonts w:hint="eastAsia" w:ascii="仿宋" w:hAnsi="仿宋" w:eastAsia="仿宋" w:cs="仿宋"/>
          <w:spacing w:val="6"/>
          <w:sz w:val="28"/>
          <w:szCs w:val="28"/>
          <w:lang w:eastAsia="zh-CN"/>
        </w:rPr>
        <w:t>供应商</w:t>
      </w:r>
      <w:r>
        <w:rPr>
          <w:rFonts w:hint="eastAsia" w:ascii="仿宋" w:hAnsi="仿宋" w:eastAsia="仿宋" w:cs="仿宋"/>
          <w:spacing w:val="6"/>
          <w:sz w:val="28"/>
          <w:szCs w:val="28"/>
        </w:rPr>
        <w:t>为</w:t>
      </w:r>
      <w:r>
        <w:rPr>
          <w:rFonts w:hint="eastAsia" w:ascii="仿宋" w:hAnsi="仿宋" w:eastAsia="仿宋" w:cs="仿宋"/>
          <w:spacing w:val="6"/>
          <w:sz w:val="28"/>
          <w:szCs w:val="28"/>
          <w:u w:val="single"/>
        </w:rPr>
        <w:t>（企业名称）</w:t>
      </w:r>
      <w:r>
        <w:rPr>
          <w:rFonts w:hint="eastAsia" w:ascii="仿宋" w:hAnsi="仿宋" w:eastAsia="仿宋" w:cs="仿宋"/>
          <w:spacing w:val="6"/>
          <w:sz w:val="28"/>
          <w:szCs w:val="28"/>
        </w:rPr>
        <w:t>，从业人员</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人，营业收入为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万元，资产总额为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万元，属于</w:t>
      </w:r>
      <w:r>
        <w:rPr>
          <w:rFonts w:hint="eastAsia" w:ascii="仿宋" w:hAnsi="仿宋" w:eastAsia="仿宋" w:cs="仿宋"/>
          <w:spacing w:val="6"/>
          <w:sz w:val="28"/>
          <w:szCs w:val="28"/>
          <w:u w:val="single"/>
        </w:rPr>
        <w:t>（中型企业、小型企业、微型企业）</w:t>
      </w:r>
      <w:r>
        <w:rPr>
          <w:rFonts w:hint="eastAsia" w:ascii="仿宋" w:hAnsi="仿宋" w:eastAsia="仿宋" w:cs="仿宋"/>
          <w:spacing w:val="6"/>
          <w:sz w:val="28"/>
          <w:szCs w:val="28"/>
        </w:rPr>
        <w:t>；</w:t>
      </w:r>
    </w:p>
    <w:p>
      <w:pPr>
        <w:pStyle w:val="45"/>
        <w:spacing w:line="360" w:lineRule="auto"/>
        <w:ind w:firstLine="560"/>
        <w:rPr>
          <w:rFonts w:ascii="仿宋" w:hAnsi="仿宋" w:eastAsia="仿宋" w:cs="仿宋"/>
          <w:sz w:val="28"/>
          <w:szCs w:val="28"/>
        </w:rPr>
      </w:pP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以上企业，不属于大企业的分支机构，不存在控股股东为大企业的情形，也不存在与大企业的负责人为同一人的情形。</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本企业对上述声明内容的真实性负责。如有虚假，将依法承担相应责任。</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企业名称（盖章）：</w:t>
      </w:r>
    </w:p>
    <w:p>
      <w:pPr>
        <w:spacing w:line="360" w:lineRule="auto"/>
        <w:ind w:firstLine="584" w:firstLineChars="200"/>
        <w:jc w:val="left"/>
        <w:rPr>
          <w:rFonts w:ascii="仿宋" w:hAnsi="仿宋" w:eastAsia="仿宋" w:cs="仿宋"/>
          <w:spacing w:val="6"/>
          <w:sz w:val="28"/>
          <w:szCs w:val="28"/>
        </w:rPr>
      </w:pPr>
      <w:r>
        <w:rPr>
          <w:rFonts w:hint="eastAsia" w:ascii="仿宋" w:hAnsi="仿宋" w:eastAsia="仿宋" w:cs="仿宋"/>
          <w:spacing w:val="6"/>
          <w:sz w:val="28"/>
          <w:szCs w:val="28"/>
        </w:rPr>
        <w:t>日        期：</w:t>
      </w:r>
    </w:p>
    <w:p>
      <w:pPr>
        <w:spacing w:line="360" w:lineRule="auto"/>
        <w:rPr>
          <w:rFonts w:ascii="仿宋" w:hAnsi="仿宋" w:eastAsia="仿宋" w:cs="仿宋"/>
          <w:b/>
          <w:sz w:val="28"/>
          <w:szCs w:val="28"/>
        </w:rPr>
      </w:pPr>
    </w:p>
    <w:p>
      <w:pPr>
        <w:rPr>
          <w:rFonts w:ascii="仿宋" w:hAnsi="仿宋" w:eastAsia="仿宋" w:cs="仿宋"/>
          <w:b/>
        </w:rPr>
      </w:pPr>
      <w:r>
        <w:rPr>
          <w:rFonts w:hint="eastAsia" w:ascii="仿宋" w:hAnsi="仿宋" w:eastAsia="仿宋" w:cs="仿宋"/>
          <w:b/>
        </w:rPr>
        <w:br w:type="page"/>
      </w:r>
    </w:p>
    <w:p>
      <w:pPr>
        <w:jc w:val="center"/>
        <w:outlineLvl w:val="1"/>
        <w:rPr>
          <w:rFonts w:ascii="仿宋" w:hAnsi="仿宋" w:eastAsia="仿宋" w:cs="仿宋"/>
          <w:b/>
          <w:kern w:val="0"/>
          <w:sz w:val="32"/>
          <w:szCs w:val="32"/>
        </w:rPr>
      </w:pPr>
      <w:bookmarkStart w:id="144" w:name="_Toc18066"/>
      <w:r>
        <w:rPr>
          <w:rFonts w:hint="eastAsia" w:ascii="仿宋" w:hAnsi="仿宋" w:eastAsia="仿宋" w:cs="仿宋"/>
          <w:b/>
          <w:kern w:val="0"/>
          <w:sz w:val="32"/>
          <w:szCs w:val="32"/>
        </w:rPr>
        <w:t>12、比选申请人认为应当提供的其他证明材料</w:t>
      </w:r>
      <w:bookmarkEnd w:id="144"/>
      <w:r>
        <w:rPr>
          <w:rFonts w:hint="eastAsia" w:ascii="仿宋" w:hAnsi="仿宋" w:eastAsia="仿宋" w:cs="仿宋"/>
          <w:b/>
          <w:kern w:val="0"/>
          <w:sz w:val="32"/>
          <w:szCs w:val="32"/>
        </w:rPr>
        <w:t>、</w:t>
      </w:r>
    </w:p>
    <w:p>
      <w:pPr>
        <w:rPr>
          <w:rFonts w:cs="宋体"/>
        </w:rPr>
      </w:pPr>
    </w:p>
    <w:p>
      <w:pPr>
        <w:rPr>
          <w:b/>
          <w:bCs/>
        </w:rPr>
      </w:pPr>
    </w:p>
    <w:p>
      <w:pPr>
        <w:jc w:val="center"/>
        <w:outlineLvl w:val="1"/>
        <w:rPr>
          <w:rFonts w:ascii="仿宋" w:hAnsi="仿宋" w:eastAsia="仿宋" w:cs="仿宋"/>
          <w:b/>
          <w:kern w:val="0"/>
          <w:sz w:val="32"/>
          <w:szCs w:val="32"/>
        </w:rPr>
      </w:pPr>
      <w:bookmarkStart w:id="145" w:name="_Toc2946"/>
      <w:r>
        <w:rPr>
          <w:rFonts w:hint="eastAsia" w:ascii="仿宋" w:hAnsi="仿宋" w:eastAsia="仿宋" w:cs="仿宋"/>
          <w:b/>
          <w:kern w:val="0"/>
          <w:sz w:val="32"/>
          <w:szCs w:val="32"/>
        </w:rPr>
        <w:t>其他资格、资质性及其他类似效力要求的相关证明材料</w:t>
      </w:r>
      <w:bookmarkEnd w:id="145"/>
    </w:p>
    <w:p>
      <w:pPr>
        <w:rPr>
          <w:rFonts w:cs="宋体"/>
        </w:rPr>
      </w:pPr>
      <w:r>
        <w:rPr>
          <w:rFonts w:hint="eastAsia" w:cs="宋体"/>
        </w:rPr>
        <w:t xml:space="preserve">    </w:t>
      </w:r>
    </w:p>
    <w:p>
      <w:pPr>
        <w:rPr>
          <w:rFonts w:cs="宋体"/>
          <w:sz w:val="24"/>
          <w:szCs w:val="24"/>
        </w:rPr>
      </w:pPr>
    </w:p>
    <w:p>
      <w:pPr>
        <w:spacing w:line="360" w:lineRule="auto"/>
        <w:rPr>
          <w:rFonts w:ascii="仿宋" w:hAnsi="仿宋" w:eastAsia="仿宋" w:cs="仿宋"/>
          <w:bCs/>
          <w:sz w:val="28"/>
          <w:szCs w:val="28"/>
        </w:rPr>
      </w:pPr>
      <w:r>
        <w:rPr>
          <w:rFonts w:hint="eastAsia" w:ascii="仿宋" w:hAnsi="仿宋" w:eastAsia="仿宋" w:cs="仿宋"/>
          <w:bCs/>
          <w:sz w:val="28"/>
          <w:szCs w:val="28"/>
        </w:rPr>
        <w:br w:type="page"/>
      </w:r>
    </w:p>
    <w:p>
      <w:pPr>
        <w:pStyle w:val="3"/>
        <w:adjustRightInd w:val="0"/>
        <w:spacing w:before="0" w:after="0" w:line="480" w:lineRule="auto"/>
        <w:jc w:val="center"/>
        <w:rPr>
          <w:rFonts w:ascii="仿宋" w:hAnsi="仿宋" w:eastAsia="仿宋" w:cs="仿宋"/>
          <w:bCs w:val="0"/>
        </w:rPr>
      </w:pPr>
      <w:bookmarkStart w:id="146" w:name="_Toc24695"/>
      <w:r>
        <w:rPr>
          <w:rFonts w:hint="eastAsia" w:ascii="仿宋" w:hAnsi="仿宋" w:eastAsia="仿宋" w:cs="仿宋"/>
          <w:bCs w:val="0"/>
        </w:rPr>
        <w:t>13、比选申请人认为其他需要提交的材料（如有）</w:t>
      </w:r>
      <w:bookmarkEnd w:id="146"/>
    </w:p>
    <w:p>
      <w:pPr>
        <w:pStyle w:val="2"/>
        <w:spacing w:before="200" w:after="200" w:line="360" w:lineRule="auto"/>
        <w:jc w:val="center"/>
        <w:rPr>
          <w:rFonts w:ascii="华文中宋" w:hAnsi="华文中宋" w:eastAsia="华文中宋"/>
        </w:rPr>
      </w:pPr>
      <w:r>
        <w:rPr>
          <w:rFonts w:ascii="宋体" w:cs="宋体"/>
          <w:kern w:val="0"/>
          <w:sz w:val="28"/>
          <w:szCs w:val="28"/>
        </w:rPr>
        <w:br w:type="page"/>
      </w:r>
      <w:bookmarkStart w:id="147" w:name="_Toc23032"/>
      <w:r>
        <w:rPr>
          <w:rFonts w:hint="eastAsia" w:ascii="华文中宋" w:hAnsi="华文中宋" w:eastAsia="华文中宋"/>
        </w:rPr>
        <w:t>第五章  评审方法</w:t>
      </w:r>
      <w:bookmarkEnd w:id="14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1、综合评分法：指在最大限度地满足比选文件实质性要求前提下，按照比选文件中规定的各项因素进行综合评审后，以比选总得分最高的供应商作为成交候选供应商或者成交供应商的评审方法。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2、比选小组应当按照供应商的综合评分由高到低顺序推荐1家以上成交候选供应商，并编写比选报告。供应商综合评分相同的，中选候选供应商并列，由采购人自主采取公平择优的方式中选成交供应商。</w:t>
      </w:r>
    </w:p>
    <w:p>
      <w:pPr>
        <w:spacing w:line="360" w:lineRule="auto"/>
        <w:ind w:firstLine="560" w:firstLineChars="200"/>
        <w:outlineLvl w:val="1"/>
        <w:rPr>
          <w:rFonts w:ascii="仿宋" w:hAnsi="仿宋" w:eastAsia="仿宋" w:cs="仿宋"/>
          <w:sz w:val="28"/>
          <w:szCs w:val="28"/>
        </w:rPr>
      </w:pPr>
      <w:bookmarkStart w:id="148" w:name="_Toc6469"/>
      <w:bookmarkStart w:id="149" w:name="_Toc16751"/>
      <w:bookmarkStart w:id="150" w:name="_Toc20200"/>
      <w:r>
        <w:rPr>
          <w:rFonts w:hint="eastAsia" w:ascii="仿宋" w:hAnsi="仿宋" w:eastAsia="仿宋" w:cs="仿宋"/>
          <w:sz w:val="28"/>
          <w:szCs w:val="28"/>
        </w:rPr>
        <w:t>3.综合评分</w:t>
      </w:r>
      <w:bookmarkEnd w:id="148"/>
      <w:bookmarkEnd w:id="149"/>
    </w:p>
    <w:p>
      <w:pPr>
        <w:spacing w:line="360" w:lineRule="auto"/>
        <w:ind w:firstLine="560" w:firstLineChars="200"/>
        <w:outlineLvl w:val="1"/>
        <w:rPr>
          <w:rFonts w:ascii="仿宋" w:hAnsi="仿宋" w:eastAsia="仿宋" w:cs="仿宋"/>
          <w:sz w:val="28"/>
          <w:szCs w:val="28"/>
        </w:rPr>
      </w:pPr>
      <w:bookmarkStart w:id="151" w:name="_Toc22819"/>
      <w:r>
        <w:rPr>
          <w:rFonts w:hint="eastAsia" w:ascii="仿宋" w:hAnsi="仿宋" w:eastAsia="仿宋" w:cs="仿宋"/>
          <w:sz w:val="28"/>
          <w:szCs w:val="28"/>
        </w:rPr>
        <w:t>3.1本次综合评分的因素是：详见综合评分明细表。</w:t>
      </w:r>
      <w:bookmarkEnd w:id="151"/>
    </w:p>
    <w:p>
      <w:pPr>
        <w:spacing w:line="360" w:lineRule="auto"/>
        <w:ind w:firstLine="560" w:firstLineChars="200"/>
        <w:outlineLvl w:val="1"/>
        <w:rPr>
          <w:rFonts w:ascii="仿宋" w:hAnsi="仿宋" w:eastAsia="仿宋" w:cs="仿宋"/>
          <w:sz w:val="28"/>
          <w:szCs w:val="28"/>
        </w:rPr>
      </w:pPr>
      <w:bookmarkStart w:id="152" w:name="_Toc23722"/>
      <w:r>
        <w:rPr>
          <w:rFonts w:hint="eastAsia" w:ascii="仿宋" w:hAnsi="仿宋" w:eastAsia="仿宋" w:cs="仿宋"/>
          <w:sz w:val="28"/>
          <w:szCs w:val="28"/>
        </w:rPr>
        <w:t>3.2 除价格因素外，比选小组成员应当根据自身专业情况独立对每个有效供应商的响应文件进行评价、打分。技术、与技术有关的服务及其他技术类评分因素由抽取的技术方面比选小组成员独立评分。财务状况及其他经济类评分因素由抽取的经济方面比选小组成员独立评分。采购政策功能、采购合同主要条款及其他政策合同类的评分因素由抽取的法律方面比选小组成员独立评分。采购人代表原则上对技术、与技术有关的服务及其他技术类评分因素独立评分。价格及其他不能明确区分的评分因素由比选小组成员共同评分。</w:t>
      </w:r>
      <w:bookmarkEnd w:id="152"/>
    </w:p>
    <w:p>
      <w:pPr>
        <w:spacing w:line="360" w:lineRule="auto"/>
        <w:ind w:firstLine="560" w:firstLineChars="200"/>
        <w:outlineLvl w:val="1"/>
        <w:rPr>
          <w:rFonts w:ascii="仿宋" w:hAnsi="仿宋" w:eastAsia="仿宋" w:cs="仿宋"/>
          <w:sz w:val="28"/>
          <w:szCs w:val="28"/>
        </w:rPr>
      </w:pPr>
      <w:bookmarkStart w:id="153" w:name="_Toc4957"/>
      <w:r>
        <w:rPr>
          <w:rFonts w:hint="eastAsia" w:ascii="仿宋" w:hAnsi="仿宋" w:eastAsia="仿宋" w:cs="仿宋"/>
          <w:sz w:val="28"/>
          <w:szCs w:val="28"/>
        </w:rPr>
        <w:t>3.3综合评分明细表</w:t>
      </w:r>
      <w:bookmarkEnd w:id="153"/>
    </w:p>
    <w:p>
      <w:pPr>
        <w:spacing w:line="360" w:lineRule="auto"/>
        <w:ind w:firstLine="560" w:firstLineChars="200"/>
        <w:outlineLvl w:val="1"/>
        <w:rPr>
          <w:rFonts w:ascii="仿宋" w:hAnsi="仿宋" w:eastAsia="仿宋" w:cs="仿宋"/>
          <w:sz w:val="28"/>
          <w:szCs w:val="28"/>
        </w:rPr>
      </w:pPr>
      <w:bookmarkStart w:id="154" w:name="_Toc19295"/>
      <w:r>
        <w:rPr>
          <w:rFonts w:hint="eastAsia" w:ascii="仿宋" w:hAnsi="仿宋" w:eastAsia="仿宋" w:cs="仿宋"/>
          <w:sz w:val="28"/>
          <w:szCs w:val="28"/>
        </w:rPr>
        <w:t>3.3.1综合评分明细表的制定以科学合理、降低评委会自由裁量权为原则。</w:t>
      </w:r>
      <w:bookmarkEnd w:id="154"/>
    </w:p>
    <w:p>
      <w:pPr>
        <w:spacing w:line="360" w:lineRule="auto"/>
        <w:ind w:firstLine="560" w:firstLineChars="200"/>
        <w:outlineLvl w:val="1"/>
        <w:rPr>
          <w:rFonts w:hint="eastAsia" w:ascii="仿宋" w:hAnsi="仿宋" w:eastAsia="仿宋" w:cs="仿宋"/>
          <w:sz w:val="28"/>
          <w:szCs w:val="28"/>
        </w:rPr>
      </w:pPr>
      <w:bookmarkStart w:id="155" w:name="_Toc28474"/>
      <w:r>
        <w:rPr>
          <w:rFonts w:hint="eastAsia" w:ascii="仿宋" w:hAnsi="仿宋" w:eastAsia="仿宋" w:cs="仿宋"/>
          <w:sz w:val="28"/>
          <w:szCs w:val="28"/>
        </w:rPr>
        <w:t>3.3.2综合评分明细表</w:t>
      </w:r>
      <w:bookmarkEnd w:id="155"/>
    </w:p>
    <w:p>
      <w:pPr>
        <w:spacing w:line="360" w:lineRule="auto"/>
        <w:ind w:firstLine="560" w:firstLineChars="200"/>
        <w:outlineLvl w:val="9"/>
        <w:rPr>
          <w:rFonts w:hint="eastAsia" w:ascii="仿宋" w:hAnsi="仿宋" w:eastAsia="仿宋" w:cs="仿宋"/>
          <w:sz w:val="28"/>
          <w:szCs w:val="28"/>
        </w:rPr>
      </w:pPr>
    </w:p>
    <w:p>
      <w:pPr>
        <w:spacing w:line="360" w:lineRule="auto"/>
        <w:ind w:firstLine="560" w:firstLineChars="200"/>
        <w:outlineLvl w:val="9"/>
        <w:rPr>
          <w:rFonts w:hint="eastAsia" w:ascii="仿宋" w:hAnsi="仿宋" w:eastAsia="仿宋" w:cs="仿宋"/>
          <w:sz w:val="28"/>
          <w:szCs w:val="28"/>
        </w:rPr>
      </w:pPr>
    </w:p>
    <w:p>
      <w:pPr>
        <w:spacing w:line="360" w:lineRule="auto"/>
        <w:ind w:firstLine="560" w:firstLineChars="200"/>
        <w:outlineLvl w:val="9"/>
        <w:rPr>
          <w:rFonts w:hint="eastAsia" w:ascii="仿宋" w:hAnsi="仿宋" w:eastAsia="仿宋" w:cs="仿宋"/>
          <w:sz w:val="28"/>
          <w:szCs w:val="28"/>
        </w:rPr>
      </w:pPr>
    </w:p>
    <w:tbl>
      <w:tblPr>
        <w:tblStyle w:val="24"/>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70"/>
        <w:gridCol w:w="1080"/>
        <w:gridCol w:w="504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bookmarkStart w:id="156" w:name="_Toc18373"/>
            <w:bookmarkStart w:id="157" w:name="_Toc21474"/>
            <w:r>
              <w:rPr>
                <w:rFonts w:hint="eastAsia" w:ascii="宋体" w:hAnsi="宋体" w:eastAsia="宋体" w:cs="宋体"/>
                <w:sz w:val="21"/>
                <w:szCs w:val="21"/>
                <w:highlight w:val="none"/>
                <w:lang w:val="zh-CN"/>
              </w:rPr>
              <w:t>序号</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评分因素</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分值</w:t>
            </w:r>
          </w:p>
        </w:tc>
        <w:tc>
          <w:tcPr>
            <w:tcW w:w="5043"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评分标准</w:t>
            </w:r>
          </w:p>
        </w:tc>
        <w:tc>
          <w:tcPr>
            <w:tcW w:w="1402"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主观/客观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eastAsia="宋体" w:cs="宋体"/>
                <w:sz w:val="21"/>
                <w:szCs w:val="21"/>
                <w:highlight w:val="none"/>
                <w:lang w:val="en-US" w:eastAsia="zh-CN"/>
              </w:rPr>
              <w:t>1</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zh-CN"/>
              </w:rPr>
              <w:t>分</w:t>
            </w:r>
          </w:p>
        </w:tc>
        <w:tc>
          <w:tcPr>
            <w:tcW w:w="5043"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满足比选文件要求且响应价格最低的响应报价为基准价，其价格分为满分。其他</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的价格分统一按照下列公式计算：报价得分=（基准价／报价）*</w:t>
            </w:r>
            <w:r>
              <w:rPr>
                <w:rFonts w:hint="eastAsia"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项目总体管理方案</w:t>
            </w:r>
          </w:p>
        </w:tc>
        <w:tc>
          <w:tcPr>
            <w:tcW w:w="108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分</w:t>
            </w:r>
          </w:p>
        </w:tc>
        <w:tc>
          <w:tcPr>
            <w:tcW w:w="5043" w:type="dxa"/>
            <w:noWrap w:val="0"/>
            <w:vAlign w:val="center"/>
          </w:tcPr>
          <w:p>
            <w:pPr>
              <w:pStyle w:val="49"/>
              <w:snapToGrid w:val="0"/>
              <w:spacing w:before="180" w:beforeLines="75" w:line="360" w:lineRule="auto"/>
              <w:ind w:firstLine="210" w:firstLineChars="100"/>
              <w:rPr>
                <w:rFonts w:hint="eastAsia" w:cs="宋体"/>
                <w:sz w:val="21"/>
                <w:szCs w:val="21"/>
                <w:highlight w:val="none"/>
                <w:lang w:val="en-US" w:eastAsia="zh-CN"/>
              </w:rPr>
            </w:pPr>
            <w:r>
              <w:rPr>
                <w:rFonts w:hint="eastAsia" w:ascii="宋体" w:hAnsi="宋体" w:eastAsia="宋体" w:cs="宋体"/>
                <w:sz w:val="21"/>
                <w:szCs w:val="21"/>
                <w:highlight w:val="none"/>
                <w:lang w:val="en-US" w:eastAsia="zh-CN"/>
              </w:rPr>
              <w:t>供应商针对本项目制定的总体管理方案，包含但不限于：①项目整体定位及整体策划；②项目重难点分析及应对措施；③项目管理机构运作方法；④项目服务标准及承诺</w:t>
            </w:r>
            <w:r>
              <w:rPr>
                <w:rFonts w:hint="eastAsia" w:cs="宋体"/>
                <w:sz w:val="21"/>
                <w:szCs w:val="21"/>
                <w:highlight w:val="none"/>
                <w:lang w:val="en-US" w:eastAsia="zh-CN"/>
              </w:rPr>
              <w:t>等。</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上述内容完整详细且满足采购文件及采购需求的得</w:t>
            </w: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分，每有一项内容缺失的扣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分，方案每有一处存在错误或瑕疵的扣</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 xml:space="preserve">分，扣完为止。 </w:t>
            </w:r>
          </w:p>
          <w:p>
            <w:pPr>
              <w:pStyle w:val="49"/>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服务方案</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36分</w:t>
            </w:r>
          </w:p>
        </w:tc>
        <w:tc>
          <w:tcPr>
            <w:tcW w:w="5043" w:type="dxa"/>
            <w:noWrap w:val="0"/>
            <w:vAlign w:val="center"/>
          </w:tcPr>
          <w:p>
            <w:pPr>
              <w:pStyle w:val="49"/>
              <w:numPr>
                <w:ilvl w:val="0"/>
                <w:numId w:val="0"/>
              </w:numPr>
              <w:snapToGrid w:val="0"/>
              <w:spacing w:before="180" w:beforeLines="75" w:line="360" w:lineRule="auto"/>
              <w:ind w:firstLine="210" w:firstLineChars="100"/>
              <w:rPr>
                <w:rFonts w:hint="default" w:ascii="宋体" w:hAnsi="宋体" w:eastAsia="宋体" w:cs="宋体"/>
                <w:sz w:val="21"/>
                <w:szCs w:val="21"/>
                <w:highlight w:val="none"/>
                <w:lang w:val="en-US" w:eastAsia="zh-CN"/>
              </w:rPr>
            </w:pPr>
            <w:r>
              <w:rPr>
                <w:rFonts w:hint="eastAsia" w:ascii="宋体" w:hAnsi="宋体" w:eastAsia="宋体" w:cs="宋体"/>
                <w:sz w:val="21"/>
                <w:szCs w:val="21"/>
                <w:lang w:val="en-US" w:eastAsia="zh-CN" w:bidi="ar-SA"/>
              </w:rPr>
              <w:t>（1）</w:t>
            </w:r>
            <w:r>
              <w:rPr>
                <w:rFonts w:hint="eastAsia" w:ascii="宋体" w:hAnsi="宋体" w:eastAsia="宋体" w:cs="宋体"/>
                <w:sz w:val="21"/>
                <w:szCs w:val="21"/>
                <w:highlight w:val="none"/>
                <w:lang w:val="en-US" w:eastAsia="zh-CN"/>
              </w:rPr>
              <w:t>供应商针对本项目制定的托育师服务方案</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包含但不限于：①人员配置及岗位职责；②工作流程；③管理制度；④培训方案</w:t>
            </w:r>
            <w:r>
              <w:rPr>
                <w:rFonts w:hint="eastAsia" w:cs="宋体"/>
                <w:sz w:val="21"/>
                <w:szCs w:val="21"/>
                <w:highlight w:val="none"/>
                <w:lang w:val="en-US" w:eastAsia="zh-CN"/>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上述内容完整详细且满足采购文件及采购需求的得12分，每有一项内容缺失的扣3分，方案每有一处存在错误或瑕疵的扣1.5分，扣完为止。 </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（2）供应商针对本项目制定的保育员服务方案，包含但不限于：①人员配置及岗位职责；②工作流程；③管理制度；④培训方案</w:t>
            </w:r>
            <w:r>
              <w:rPr>
                <w:rFonts w:hint="eastAsia" w:cs="宋体"/>
                <w:sz w:val="21"/>
                <w:szCs w:val="21"/>
                <w:highlight w:val="none"/>
                <w:lang w:val="en-US" w:eastAsia="zh-CN"/>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上述内容完整详细且满足采购文件及采购需求的得12分，每有一项内容缺失的扣3分，方案每有一处存在错误或瑕疵的扣1.5分，扣完为止。 </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（3）供应商针对本项目制定的项目服务保障措施，包含但不限于：①安全保障措施；②质量保障措施；③人力资源保障措施；④维稳工作保障措施</w:t>
            </w:r>
            <w:r>
              <w:rPr>
                <w:rFonts w:hint="eastAsia" w:cs="宋体"/>
                <w:sz w:val="21"/>
                <w:szCs w:val="21"/>
                <w:lang w:val="en-US" w:eastAsia="zh-CN" w:bidi="ar-SA"/>
              </w:rPr>
              <w:t>等。</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bidi="ar-SA"/>
              </w:rPr>
              <w:t>上述内容完整详细且满足采购文件及采购需求的得</w:t>
            </w:r>
            <w:r>
              <w:rPr>
                <w:rFonts w:hint="eastAsia" w:cs="宋体"/>
                <w:sz w:val="21"/>
                <w:szCs w:val="21"/>
                <w:lang w:val="en-US" w:eastAsia="zh-CN" w:bidi="ar-SA"/>
              </w:rPr>
              <w:t>12</w:t>
            </w:r>
            <w:r>
              <w:rPr>
                <w:rFonts w:hint="eastAsia" w:ascii="宋体" w:hAnsi="宋体" w:eastAsia="宋体" w:cs="宋体"/>
                <w:sz w:val="21"/>
                <w:szCs w:val="21"/>
                <w:lang w:val="en-US" w:eastAsia="zh-CN" w:bidi="ar-SA"/>
              </w:rPr>
              <w:t>分，每有一项内容缺失的扣</w:t>
            </w:r>
            <w:r>
              <w:rPr>
                <w:rFonts w:hint="eastAsia" w:cs="宋体"/>
                <w:sz w:val="21"/>
                <w:szCs w:val="21"/>
                <w:lang w:val="en-US" w:eastAsia="zh-CN" w:bidi="ar-SA"/>
              </w:rPr>
              <w:t>3</w:t>
            </w:r>
            <w:r>
              <w:rPr>
                <w:rFonts w:hint="eastAsia" w:ascii="宋体" w:hAnsi="宋体" w:eastAsia="宋体" w:cs="宋体"/>
                <w:sz w:val="21"/>
                <w:szCs w:val="21"/>
                <w:lang w:val="en-US" w:eastAsia="zh-CN" w:bidi="ar-SA"/>
              </w:rPr>
              <w:t>分，方案每有一处存在错误或瑕疵的扣1</w:t>
            </w:r>
            <w:r>
              <w:rPr>
                <w:rFonts w:hint="eastAsia" w:cs="宋体"/>
                <w:sz w:val="21"/>
                <w:szCs w:val="21"/>
                <w:lang w:val="en-US" w:eastAsia="zh-CN" w:bidi="ar-SA"/>
              </w:rPr>
              <w:t>.5</w:t>
            </w:r>
            <w:r>
              <w:rPr>
                <w:rFonts w:hint="eastAsia" w:ascii="宋体" w:hAnsi="宋体" w:eastAsia="宋体" w:cs="宋体"/>
                <w:sz w:val="21"/>
                <w:szCs w:val="21"/>
                <w:lang w:val="en-US" w:eastAsia="zh-CN" w:bidi="ar-SA"/>
              </w:rPr>
              <w:t>分，扣完为止。</w:t>
            </w:r>
          </w:p>
          <w:p>
            <w:pPr>
              <w:pStyle w:val="49"/>
              <w:numPr>
                <w:ilvl w:val="0"/>
                <w:numId w:val="0"/>
              </w:numPr>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747"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4</w:t>
            </w:r>
          </w:p>
        </w:tc>
        <w:tc>
          <w:tcPr>
            <w:tcW w:w="1170"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应急方案</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25分</w:t>
            </w:r>
          </w:p>
        </w:tc>
        <w:tc>
          <w:tcPr>
            <w:tcW w:w="5043" w:type="dxa"/>
            <w:noWrap w:val="0"/>
            <w:vAlign w:val="center"/>
          </w:tcPr>
          <w:p>
            <w:pPr>
              <w:pStyle w:val="49"/>
              <w:snapToGrid w:val="0"/>
              <w:spacing w:before="180" w:beforeLines="75" w:line="360" w:lineRule="auto"/>
              <w:ind w:firstLine="210" w:firstLineChars="100"/>
              <w:rPr>
                <w:rFonts w:hint="eastAsia" w:cs="宋体"/>
                <w:sz w:val="21"/>
                <w:szCs w:val="21"/>
                <w:highlight w:val="none"/>
                <w:lang w:val="en-US" w:eastAsia="zh-CN"/>
              </w:rPr>
            </w:pPr>
            <w:r>
              <w:rPr>
                <w:rFonts w:hint="eastAsia" w:ascii="宋体" w:hAnsi="宋体" w:eastAsia="宋体" w:cs="宋体"/>
                <w:sz w:val="21"/>
                <w:szCs w:val="21"/>
                <w:highlight w:val="none"/>
                <w:lang w:val="en-US" w:eastAsia="zh-CN"/>
              </w:rPr>
              <w:t>供应商针对本项目制定的应急</w:t>
            </w:r>
            <w:r>
              <w:rPr>
                <w:rFonts w:hint="eastAsia" w:cs="宋体"/>
                <w:sz w:val="21"/>
                <w:szCs w:val="21"/>
                <w:highlight w:val="none"/>
                <w:lang w:val="en-US" w:eastAsia="zh-CN"/>
              </w:rPr>
              <w:t>方案</w:t>
            </w:r>
            <w:r>
              <w:rPr>
                <w:rFonts w:hint="eastAsia" w:ascii="宋体" w:hAnsi="宋体" w:eastAsia="宋体" w:cs="宋体"/>
                <w:sz w:val="21"/>
                <w:szCs w:val="21"/>
                <w:highlight w:val="none"/>
                <w:lang w:val="en-US" w:eastAsia="zh-CN"/>
              </w:rPr>
              <w:t>，包含但不限于：①应急事件处理整体方案；②火灾应急预案；③突发疾病应急预案；④食物中毒应急预案；⑤自然灾害应急预案</w:t>
            </w:r>
            <w:r>
              <w:rPr>
                <w:rFonts w:hint="eastAsia" w:cs="宋体"/>
                <w:sz w:val="21"/>
                <w:szCs w:val="21"/>
                <w:highlight w:val="none"/>
                <w:lang w:val="en-US" w:eastAsia="zh-CN"/>
              </w:rPr>
              <w:t>等。</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上述内容完整详细且 满足采购文件及采购需求的得</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分，每有一项内容缺失的扣</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分，方案每有一处存在错误或瑕疵的扣</w:t>
            </w:r>
            <w:r>
              <w:rPr>
                <w:rFonts w:hint="eastAsia" w:cs="宋体"/>
                <w:sz w:val="21"/>
                <w:szCs w:val="21"/>
                <w:highlight w:val="none"/>
                <w:lang w:val="en-US" w:eastAsia="zh-CN"/>
              </w:rPr>
              <w:t>2.5</w:t>
            </w:r>
            <w:r>
              <w:rPr>
                <w:rFonts w:hint="eastAsia" w:ascii="宋体" w:hAnsi="宋体" w:eastAsia="宋体" w:cs="宋体"/>
                <w:sz w:val="21"/>
                <w:szCs w:val="21"/>
                <w:highlight w:val="none"/>
                <w:lang w:val="en-US" w:eastAsia="zh-CN"/>
              </w:rPr>
              <w:t>分，扣完为止。</w:t>
            </w:r>
          </w:p>
          <w:p>
            <w:pPr>
              <w:pStyle w:val="49"/>
              <w:snapToGrid w:val="0"/>
              <w:spacing w:before="180" w:beforeLines="75"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注：本项所述错误是指：非专门针对本项目或不适用项目特性的情形，项目名称、实施地点、时间、涉及的规范、标准与本项目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tc>
        <w:tc>
          <w:tcPr>
            <w:tcW w:w="1402" w:type="dxa"/>
            <w:noWrap w:val="0"/>
            <w:vAlign w:val="center"/>
          </w:tcPr>
          <w:p>
            <w:pPr>
              <w:pStyle w:val="49"/>
              <w:snapToGrid w:val="0"/>
              <w:spacing w:before="180" w:beforeLines="75" w:line="360" w:lineRule="auto"/>
              <w:jc w:val="center"/>
              <w:rPr>
                <w:rFonts w:hint="eastAsia" w:ascii="宋体" w:hAnsi="宋体" w:eastAsia="宋体" w:cs="宋体"/>
                <w:sz w:val="21"/>
                <w:szCs w:val="21"/>
                <w:highlight w:val="none"/>
                <w:lang w:val="zh-CN"/>
              </w:rPr>
            </w:pPr>
            <w:r>
              <w:rPr>
                <w:rFonts w:hint="eastAsia"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47" w:type="dxa"/>
            <w:noWrap w:val="0"/>
            <w:vAlign w:val="center"/>
          </w:tcPr>
          <w:p>
            <w:pPr>
              <w:pStyle w:val="49"/>
              <w:snapToGrid w:val="0"/>
              <w:spacing w:before="180" w:beforeLines="75" w:line="360" w:lineRule="auto"/>
              <w:jc w:val="center"/>
              <w:rPr>
                <w:rFonts w:hint="default" w:cs="宋体"/>
                <w:sz w:val="21"/>
                <w:szCs w:val="21"/>
                <w:highlight w:val="none"/>
                <w:lang w:val="en-US" w:eastAsia="zh-CN"/>
              </w:rPr>
            </w:pPr>
            <w:r>
              <w:rPr>
                <w:rFonts w:hint="eastAsia" w:cs="宋体"/>
                <w:sz w:val="21"/>
                <w:szCs w:val="21"/>
                <w:highlight w:val="none"/>
                <w:lang w:val="en-US" w:eastAsia="zh-CN"/>
              </w:rPr>
              <w:t>5</w:t>
            </w:r>
          </w:p>
        </w:tc>
        <w:tc>
          <w:tcPr>
            <w:tcW w:w="117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履约能力</w:t>
            </w:r>
          </w:p>
        </w:tc>
        <w:tc>
          <w:tcPr>
            <w:tcW w:w="1080" w:type="dxa"/>
            <w:noWrap w:val="0"/>
            <w:vAlign w:val="center"/>
          </w:tcPr>
          <w:p>
            <w:pPr>
              <w:pStyle w:val="49"/>
              <w:snapToGrid w:val="0"/>
              <w:spacing w:before="180" w:beforeLines="75" w:line="36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9分</w:t>
            </w:r>
          </w:p>
        </w:tc>
        <w:tc>
          <w:tcPr>
            <w:tcW w:w="5043" w:type="dxa"/>
            <w:noWrap w:val="0"/>
            <w:vAlign w:val="center"/>
          </w:tcPr>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提供202</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年1月1日至今已完成或正在承接的类似</w:t>
            </w:r>
            <w:r>
              <w:rPr>
                <w:rFonts w:hint="eastAsia" w:cs="宋体"/>
                <w:sz w:val="21"/>
                <w:szCs w:val="21"/>
                <w:highlight w:val="none"/>
                <w:lang w:val="en-US" w:eastAsia="zh-CN"/>
              </w:rPr>
              <w:t>托育</w:t>
            </w:r>
            <w:r>
              <w:rPr>
                <w:rFonts w:hint="eastAsia" w:ascii="宋体" w:hAnsi="宋体" w:eastAsia="宋体" w:cs="宋体"/>
                <w:sz w:val="21"/>
                <w:szCs w:val="21"/>
                <w:highlight w:val="none"/>
                <w:lang w:val="en-US" w:eastAsia="zh-CN"/>
              </w:rPr>
              <w:t>业绩，每有一个得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分，本项最高得</w:t>
            </w:r>
            <w:r>
              <w:rPr>
                <w:rFonts w:hint="eastAsia" w:cs="宋体"/>
                <w:sz w:val="21"/>
                <w:szCs w:val="21"/>
                <w:highlight w:val="none"/>
                <w:lang w:val="en-US" w:eastAsia="zh-CN"/>
              </w:rPr>
              <w:t>9</w:t>
            </w:r>
            <w:r>
              <w:rPr>
                <w:rFonts w:hint="eastAsia" w:ascii="宋体" w:hAnsi="宋体" w:eastAsia="宋体" w:cs="宋体"/>
                <w:sz w:val="21"/>
                <w:szCs w:val="21"/>
                <w:highlight w:val="none"/>
                <w:lang w:val="en-US" w:eastAsia="zh-CN"/>
              </w:rPr>
              <w:t xml:space="preserve">分，未提供的不得分。 </w:t>
            </w:r>
          </w:p>
          <w:p>
            <w:pPr>
              <w:pStyle w:val="49"/>
              <w:snapToGrid w:val="0"/>
              <w:spacing w:before="180" w:beforeLines="75"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注：提供中标（成交）通知书或合同复印件加盖公章</w:t>
            </w:r>
            <w:r>
              <w:rPr>
                <w:rFonts w:hint="eastAsia" w:cs="宋体"/>
                <w:sz w:val="21"/>
                <w:szCs w:val="21"/>
                <w:highlight w:val="none"/>
                <w:lang w:val="en-US" w:eastAsia="zh-CN"/>
              </w:rPr>
              <w:t>。</w:t>
            </w:r>
          </w:p>
        </w:tc>
        <w:tc>
          <w:tcPr>
            <w:tcW w:w="1402" w:type="dxa"/>
            <w:noWrap w:val="0"/>
            <w:vAlign w:val="center"/>
          </w:tcPr>
          <w:p>
            <w:pPr>
              <w:pStyle w:val="49"/>
              <w:snapToGrid w:val="0"/>
              <w:spacing w:before="180" w:beforeLines="75" w:line="360" w:lineRule="auto"/>
              <w:jc w:val="center"/>
              <w:rPr>
                <w:rFonts w:hint="eastAsia" w:cs="宋体"/>
                <w:sz w:val="21"/>
                <w:szCs w:val="21"/>
                <w:highlight w:val="none"/>
                <w:lang w:val="en-US" w:eastAsia="zh-CN"/>
              </w:rPr>
            </w:pPr>
            <w:r>
              <w:rPr>
                <w:rFonts w:hint="eastAsia" w:cs="宋体"/>
                <w:sz w:val="21"/>
                <w:szCs w:val="21"/>
                <w:highlight w:val="none"/>
                <w:lang w:val="en-US" w:eastAsia="zh-CN"/>
              </w:rPr>
              <w:t>客观</w:t>
            </w:r>
          </w:p>
        </w:tc>
      </w:tr>
    </w:tbl>
    <w:p>
      <w:pPr>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注：评分的取值按四舍五入法，保留小数点后两位。</w:t>
      </w:r>
      <w:bookmarkEnd w:id="156"/>
      <w:bookmarkEnd w:id="157"/>
    </w:p>
    <w:p>
      <w:pPr>
        <w:spacing w:line="360" w:lineRule="auto"/>
        <w:ind w:firstLine="560" w:firstLineChars="200"/>
        <w:rPr>
          <w:rFonts w:ascii="仿宋" w:hAnsi="仿宋" w:eastAsia="仿宋" w:cs="仿宋"/>
          <w:sz w:val="28"/>
          <w:szCs w:val="28"/>
        </w:rPr>
      </w:pPr>
    </w:p>
    <w:p>
      <w:pPr>
        <w:spacing w:line="360" w:lineRule="auto"/>
        <w:ind w:firstLine="560" w:firstLineChars="200"/>
        <w:outlineLvl w:val="1"/>
        <w:rPr>
          <w:rFonts w:ascii="仿宋" w:hAnsi="仿宋" w:eastAsia="仿宋" w:cs="仿宋"/>
          <w:sz w:val="28"/>
          <w:szCs w:val="28"/>
        </w:rPr>
      </w:pPr>
      <w:bookmarkStart w:id="158" w:name="_Toc16245"/>
      <w:r>
        <w:rPr>
          <w:rFonts w:hint="eastAsia" w:ascii="仿宋" w:hAnsi="仿宋" w:eastAsia="仿宋" w:cs="仿宋"/>
          <w:sz w:val="28"/>
          <w:szCs w:val="28"/>
        </w:rPr>
        <w:t>4、比选代理机构现场复核评审结果。</w:t>
      </w:r>
      <w:bookmarkEnd w:id="150"/>
      <w:bookmarkEnd w:id="158"/>
    </w:p>
    <w:p>
      <w:pPr>
        <w:spacing w:line="360" w:lineRule="auto"/>
        <w:rPr>
          <w:rFonts w:ascii="仿宋" w:hAnsi="仿宋" w:eastAsia="仿宋" w:cs="仿宋"/>
          <w:sz w:val="28"/>
          <w:szCs w:val="28"/>
        </w:rPr>
      </w:pPr>
      <w:r>
        <w:rPr>
          <w:rFonts w:hint="eastAsia" w:ascii="仿宋" w:hAnsi="仿宋" w:eastAsia="仿宋" w:cs="仿宋"/>
          <w:sz w:val="28"/>
          <w:szCs w:val="28"/>
        </w:rPr>
        <w:t xml:space="preserve">    推荐中选候选供应商后，比选小组拟出具比选报告前，比选代理机构应当组织2名以上的本单位工作人员，在比选现场监督人员的监督之下，依据有关的法律制度和比选文件对评审结果进行复核，出具复核报告，存在资格性审查认定错误的，比选代理机构应当根据情况书面建议评审小组现场修改评审结果。由评审小组自主决定是否采纳比选代理机构的书面建议，并承担独立评审责任。评审小组采纳比选代理机构书面建议的，应当按照规定现场修改评审结果或者重新评审，并在比选报告中详细记载有关事宜；不采纳比选代理机构书面建议的，应当书面说明理由。比选代理机构书面建议未被评审小组采纳的，应当按照规定程序要求继续组织实施比选活动，不得擅自中止比选活动。比选代理机构认为评审小组评审结果不合法的，应当书面报告比选项目监督单位。</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比选代理机构复核过程中，评审小组成员不得离开评审现场。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有下列情形之一的，不得现场修改评审结果：</w:t>
      </w:r>
    </w:p>
    <w:p>
      <w:pPr>
        <w:spacing w:line="360" w:lineRule="auto"/>
        <w:outlineLvl w:val="2"/>
        <w:rPr>
          <w:rFonts w:ascii="仿宋" w:hAnsi="仿宋" w:eastAsia="仿宋" w:cs="仿宋"/>
          <w:sz w:val="28"/>
          <w:szCs w:val="28"/>
        </w:rPr>
      </w:pPr>
      <w:r>
        <w:rPr>
          <w:rFonts w:hint="eastAsia" w:ascii="仿宋" w:hAnsi="仿宋" w:eastAsia="仿宋" w:cs="仿宋"/>
          <w:sz w:val="28"/>
          <w:szCs w:val="28"/>
        </w:rPr>
        <w:t xml:space="preserve">    </w:t>
      </w:r>
      <w:bookmarkStart w:id="159" w:name="_Toc18890"/>
      <w:bookmarkStart w:id="160" w:name="_Toc32015"/>
      <w:r>
        <w:rPr>
          <w:rFonts w:hint="eastAsia" w:ascii="仿宋" w:hAnsi="仿宋" w:eastAsia="仿宋" w:cs="仿宋"/>
          <w:sz w:val="28"/>
          <w:szCs w:val="28"/>
        </w:rPr>
        <w:t>（1）评审小组已经出具比选报告并且离开评审现场的；</w:t>
      </w:r>
      <w:bookmarkEnd w:id="159"/>
      <w:bookmarkEnd w:id="160"/>
    </w:p>
    <w:p>
      <w:pPr>
        <w:spacing w:line="360" w:lineRule="auto"/>
        <w:rPr>
          <w:rFonts w:ascii="仿宋" w:hAnsi="仿宋" w:eastAsia="仿宋" w:cs="仿宋"/>
          <w:sz w:val="28"/>
          <w:szCs w:val="28"/>
        </w:rPr>
      </w:pPr>
      <w:r>
        <w:rPr>
          <w:rFonts w:hint="eastAsia" w:ascii="仿宋" w:hAnsi="仿宋" w:eastAsia="仿宋" w:cs="仿宋"/>
          <w:sz w:val="28"/>
          <w:szCs w:val="28"/>
        </w:rPr>
        <w:t xml:space="preserve">    （2）比选代理机构现场复核时，复核工作人员数量不足的；</w:t>
      </w:r>
    </w:p>
    <w:p>
      <w:pPr>
        <w:spacing w:line="360" w:lineRule="auto"/>
        <w:rPr>
          <w:rFonts w:ascii="仿宋" w:hAnsi="仿宋" w:eastAsia="仿宋" w:cs="仿宋"/>
          <w:sz w:val="28"/>
          <w:szCs w:val="28"/>
        </w:rPr>
      </w:pPr>
      <w:r>
        <w:rPr>
          <w:rFonts w:hint="eastAsia" w:ascii="仿宋" w:hAnsi="仿宋" w:eastAsia="仿宋" w:cs="仿宋"/>
          <w:sz w:val="28"/>
          <w:szCs w:val="28"/>
        </w:rPr>
        <w:t xml:space="preserve">    （3）比选代理机构现场复核时，没有监督人员现场监督的；</w:t>
      </w:r>
    </w:p>
    <w:p>
      <w:pPr>
        <w:spacing w:line="360" w:lineRule="auto"/>
        <w:rPr>
          <w:rFonts w:ascii="仿宋" w:hAnsi="仿宋" w:eastAsia="仿宋" w:cs="仿宋"/>
          <w:sz w:val="28"/>
          <w:szCs w:val="28"/>
        </w:rPr>
      </w:pPr>
      <w:r>
        <w:rPr>
          <w:rFonts w:hint="eastAsia" w:ascii="仿宋" w:hAnsi="仿宋" w:eastAsia="仿宋" w:cs="仿宋"/>
          <w:sz w:val="28"/>
          <w:szCs w:val="28"/>
        </w:rPr>
        <w:t xml:space="preserve">    （4）比选代理机构现场复核内容超出规定范围的；</w:t>
      </w:r>
    </w:p>
    <w:p>
      <w:pPr>
        <w:spacing w:line="360" w:lineRule="auto"/>
        <w:rPr>
          <w:rFonts w:ascii="仿宋" w:hAnsi="仿宋" w:eastAsia="仿宋" w:cs="仿宋"/>
          <w:sz w:val="28"/>
          <w:szCs w:val="28"/>
        </w:rPr>
      </w:pPr>
      <w:r>
        <w:rPr>
          <w:rFonts w:hint="eastAsia" w:ascii="仿宋" w:hAnsi="仿宋" w:eastAsia="仿宋" w:cs="仿宋"/>
          <w:sz w:val="28"/>
          <w:szCs w:val="28"/>
        </w:rPr>
        <w:t xml:space="preserve">    （5）比选代理机构未提供书面建议的。</w:t>
      </w:r>
    </w:p>
    <w:p>
      <w:pPr>
        <w:spacing w:line="360" w:lineRule="auto"/>
        <w:ind w:firstLine="560" w:firstLineChars="200"/>
        <w:outlineLvl w:val="1"/>
        <w:rPr>
          <w:rFonts w:ascii="仿宋" w:hAnsi="仿宋" w:eastAsia="仿宋" w:cs="仿宋"/>
          <w:sz w:val="28"/>
          <w:szCs w:val="28"/>
        </w:rPr>
      </w:pPr>
      <w:bookmarkStart w:id="161" w:name="_Toc17697"/>
      <w:bookmarkStart w:id="162" w:name="_Toc21587"/>
      <w:r>
        <w:rPr>
          <w:rFonts w:hint="eastAsia" w:ascii="仿宋" w:hAnsi="仿宋" w:eastAsia="仿宋" w:cs="仿宋"/>
          <w:sz w:val="28"/>
          <w:szCs w:val="28"/>
        </w:rPr>
        <w:t>5、编写比选报告。</w:t>
      </w:r>
      <w:bookmarkEnd w:id="161"/>
      <w:bookmarkEnd w:id="162"/>
    </w:p>
    <w:p>
      <w:pPr>
        <w:spacing w:line="360" w:lineRule="auto"/>
        <w:ind w:firstLine="560"/>
        <w:rPr>
          <w:rFonts w:ascii="仿宋" w:hAnsi="仿宋" w:eastAsia="仿宋" w:cs="仿宋"/>
          <w:sz w:val="28"/>
          <w:szCs w:val="28"/>
        </w:rPr>
      </w:pPr>
      <w:r>
        <w:rPr>
          <w:rFonts w:hint="eastAsia" w:ascii="仿宋" w:hAnsi="仿宋" w:eastAsia="仿宋" w:cs="仿宋"/>
          <w:sz w:val="28"/>
          <w:szCs w:val="28"/>
        </w:rPr>
        <w:t>评审小组推荐中选候选供应商后，应向比选代理机构出具比选报告。比选报告应当包括以下主要内容：</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（1）邀请供应商参加比选活动的具体方式和相关情况，以及参加比选活动的供应商名单；</w:t>
      </w:r>
    </w:p>
    <w:p>
      <w:pPr>
        <w:spacing w:line="360" w:lineRule="auto"/>
        <w:outlineLvl w:val="2"/>
        <w:rPr>
          <w:rFonts w:ascii="仿宋" w:hAnsi="仿宋" w:eastAsia="仿宋" w:cs="仿宋"/>
          <w:sz w:val="28"/>
          <w:szCs w:val="28"/>
        </w:rPr>
      </w:pPr>
      <w:r>
        <w:rPr>
          <w:rFonts w:hint="eastAsia" w:ascii="仿宋" w:hAnsi="仿宋" w:eastAsia="仿宋" w:cs="仿宋"/>
          <w:sz w:val="28"/>
          <w:szCs w:val="28"/>
        </w:rPr>
        <w:t xml:space="preserve">    </w:t>
      </w:r>
      <w:bookmarkStart w:id="163" w:name="_Toc3456"/>
      <w:bookmarkStart w:id="164" w:name="_Toc23892"/>
      <w:r>
        <w:rPr>
          <w:rFonts w:hint="eastAsia" w:ascii="仿宋" w:hAnsi="仿宋" w:eastAsia="仿宋" w:cs="仿宋"/>
          <w:sz w:val="28"/>
          <w:szCs w:val="28"/>
        </w:rPr>
        <w:t>（2）评审日期和地点，评审小组成员名单；</w:t>
      </w:r>
      <w:bookmarkEnd w:id="163"/>
      <w:bookmarkEnd w:id="164"/>
    </w:p>
    <w:p>
      <w:pPr>
        <w:spacing w:line="360" w:lineRule="auto"/>
        <w:rPr>
          <w:rFonts w:ascii="仿宋" w:hAnsi="仿宋" w:eastAsia="仿宋" w:cs="仿宋"/>
          <w:sz w:val="28"/>
          <w:szCs w:val="28"/>
        </w:rPr>
      </w:pPr>
      <w:r>
        <w:rPr>
          <w:rFonts w:hint="eastAsia" w:ascii="仿宋" w:hAnsi="仿宋" w:eastAsia="仿宋" w:cs="仿宋"/>
          <w:sz w:val="28"/>
          <w:szCs w:val="28"/>
        </w:rPr>
        <w:t xml:space="preserve">    （3）评审情况记录和说明，包括对供应商的资格审查情况、供应商响应文件审查情况、报价情况等；</w:t>
      </w:r>
    </w:p>
    <w:p>
      <w:pPr>
        <w:spacing w:line="360" w:lineRule="auto"/>
        <w:outlineLvl w:val="2"/>
        <w:rPr>
          <w:rFonts w:ascii="仿宋" w:hAnsi="仿宋" w:eastAsia="仿宋" w:cs="仿宋"/>
          <w:sz w:val="28"/>
          <w:szCs w:val="28"/>
        </w:rPr>
      </w:pPr>
      <w:r>
        <w:rPr>
          <w:rFonts w:hint="eastAsia" w:ascii="仿宋" w:hAnsi="仿宋" w:eastAsia="仿宋" w:cs="仿宋"/>
          <w:sz w:val="28"/>
          <w:szCs w:val="28"/>
        </w:rPr>
        <w:t xml:space="preserve">    </w:t>
      </w:r>
      <w:bookmarkStart w:id="165" w:name="_Toc6012"/>
      <w:bookmarkStart w:id="166" w:name="_Toc19335"/>
      <w:r>
        <w:rPr>
          <w:rFonts w:hint="eastAsia" w:ascii="仿宋" w:hAnsi="仿宋" w:eastAsia="仿宋" w:cs="仿宋"/>
          <w:sz w:val="28"/>
          <w:szCs w:val="28"/>
        </w:rPr>
        <w:t>（4）推荐的中选候选人的名单及理由。</w:t>
      </w:r>
      <w:bookmarkEnd w:id="165"/>
      <w:bookmarkEnd w:id="166"/>
    </w:p>
    <w:p>
      <w:pPr>
        <w:spacing w:line="360" w:lineRule="auto"/>
        <w:rPr>
          <w:rFonts w:ascii="仿宋" w:hAnsi="仿宋" w:eastAsia="仿宋" w:cs="仿宋"/>
          <w:sz w:val="28"/>
          <w:szCs w:val="28"/>
        </w:rPr>
      </w:pPr>
      <w:r>
        <w:rPr>
          <w:rFonts w:hint="eastAsia" w:ascii="仿宋" w:hAnsi="仿宋" w:eastAsia="仿宋" w:cs="仿宋"/>
          <w:sz w:val="28"/>
          <w:szCs w:val="28"/>
        </w:rPr>
        <w:t xml:space="preserve">    比选报告应当由评审小组全体人员签字认可。评审小组成员对比选报告有异议的，评审小组按照少数服从多数的原则推荐中选候选供应商，比选程序继续进行。对比选报告有异议的评审小组成员，应当在报告上签署不同意见并说明理由，由评审小组书面记录相关情况。评审小组成员拒绝在报告上签字又不书面说明其不同意见和理由的，视为同意比选报告。</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比选异议处理规则。在比选过程中，评审小组成员对响应文件是否符合比选文件规定存在争议的，应当以少数服从多数的原则处理，但不违背比选文件规定。有不同意见的评审小组成员认为认定过程和结果不符合法律法规或者比选文件规定的，应当在比选报告中予以反映。</w:t>
      </w:r>
    </w:p>
    <w:p>
      <w:pPr>
        <w:spacing w:line="360" w:lineRule="auto"/>
        <w:ind w:firstLine="560" w:firstLineChars="200"/>
        <w:outlineLvl w:val="1"/>
        <w:rPr>
          <w:rFonts w:ascii="仿宋" w:hAnsi="仿宋" w:eastAsia="仿宋" w:cs="仿宋"/>
          <w:sz w:val="28"/>
          <w:szCs w:val="28"/>
        </w:rPr>
      </w:pPr>
      <w:bookmarkStart w:id="167" w:name="_Toc7225"/>
      <w:bookmarkStart w:id="168" w:name="_Toc16816"/>
      <w:r>
        <w:rPr>
          <w:rFonts w:hint="eastAsia" w:ascii="仿宋" w:hAnsi="仿宋" w:eastAsia="仿宋" w:cs="仿宋"/>
          <w:sz w:val="28"/>
          <w:szCs w:val="28"/>
        </w:rPr>
        <w:t>6、供应商澄清、说明</w:t>
      </w:r>
      <w:bookmarkEnd w:id="167"/>
      <w:bookmarkEnd w:id="168"/>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评审小组要求供应商澄清、说明或者更正响应文件应当以书面形式作出。供应商的澄清、说明或者更正应当由法定代表人/主要负责人/本人或其授权代表签字或者加盖公章。</w:t>
      </w:r>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7、中选通知书为签订供货合同的依据之一，是合同的有效组成部分。</w:t>
      </w:r>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比选人按符合项目需求的合格供应商确定中选供应商，确定中选供应商后2个工作日内，比选代理机构将书面通知各供应商中选结果，由比选代理机构按照相关法律法规向中选供应商发出中选通知书。</w:t>
      </w:r>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中选通知书将作为签订合同协议的依据。中选通知书对比选人和中选供应商均具有法律效力。中选通知书发出后，比选人改变中选结果或中选供应商无正当理由放弃中选项目的，应当依法承担相关责任。</w:t>
      </w:r>
    </w:p>
    <w:p>
      <w:pPr>
        <w:pStyle w:val="8"/>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比选人和比选代理机构不对中选或未中选原因作出解释，也不退还响应文件。</w:t>
      </w:r>
    </w:p>
    <w:p>
      <w:pPr>
        <w:pStyle w:val="4"/>
        <w:spacing w:before="0" w:after="0" w:line="360" w:lineRule="auto"/>
        <w:ind w:firstLine="560" w:firstLineChars="200"/>
        <w:rPr>
          <w:rFonts w:ascii="仿宋" w:hAnsi="仿宋" w:eastAsia="仿宋" w:cs="仿宋"/>
          <w:b w:val="0"/>
          <w:bCs w:val="0"/>
          <w:sz w:val="28"/>
          <w:szCs w:val="28"/>
        </w:rPr>
      </w:pPr>
      <w:bookmarkStart w:id="169" w:name="_Toc28809"/>
      <w:bookmarkStart w:id="170" w:name="_Toc22832"/>
      <w:bookmarkStart w:id="171" w:name="_Toc17617"/>
      <w:r>
        <w:rPr>
          <w:rFonts w:hint="eastAsia" w:ascii="仿宋" w:hAnsi="仿宋" w:eastAsia="仿宋" w:cs="仿宋"/>
          <w:b w:val="0"/>
          <w:bCs w:val="0"/>
          <w:sz w:val="28"/>
          <w:szCs w:val="28"/>
        </w:rPr>
        <w:t>7、评审小组在比选活动中应当遵守以下工作纪律：</w:t>
      </w:r>
      <w:bookmarkEnd w:id="169"/>
      <w:bookmarkEnd w:id="170"/>
      <w:bookmarkEnd w:id="171"/>
    </w:p>
    <w:p>
      <w:pPr>
        <w:spacing w:line="360" w:lineRule="auto"/>
        <w:rPr>
          <w:rFonts w:ascii="仿宋" w:hAnsi="仿宋" w:eastAsia="仿宋" w:cs="仿宋"/>
          <w:sz w:val="28"/>
          <w:szCs w:val="28"/>
        </w:rPr>
      </w:pPr>
      <w:r>
        <w:rPr>
          <w:rFonts w:hint="eastAsia" w:ascii="仿宋" w:hAnsi="仿宋" w:eastAsia="仿宋" w:cs="仿宋"/>
          <w:sz w:val="28"/>
          <w:szCs w:val="28"/>
        </w:rPr>
        <w:t xml:space="preserve">    （一）不得参加与自己有利害关系的比选项目的评审活动。发现参加了与自己有利害关系的评审活动，须主动提出回避，退出评审；</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（二）评审前，应当将通讯工具或者相关电子设备交由比选代理机构统一保管；</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（三）评审过程中，不得与外界联系，因发生不可预见情况，确实需要与外界联系的，应当在监督人员监督之下办理；</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四）评审过程中，不得发表影响评审公正的倾向性、歧视性言论，不得征询或者接受比选人的倾向性意见，不得明示或暗示供应商在澄清时表达与其响应文件原义不同的意见，不得以比选文件没有规定的评审方法和标准作为评审的依据，不得修改或者细化评审程序、评审方法、评审因素和评审标准，不得违规撰写评审意见，不得拒绝对自己的评审意见签字确认；</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（五）在评审过程中和评审结束后，不得记录、复制或带走任何评审资料，不得向外界透露评审内容；</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（六）评审现场服从比选代理机构工作人员的管理，接受现场监督人员的合法监督；</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（七）遵守有关廉洁自律规定，不得私下接触供应商，不得收受供应商及有关业务单位和个人的财物或好处，不得接受比选代理机构的请托。</w:t>
      </w:r>
    </w:p>
    <w:p/>
    <w:bookmarkEnd w:id="140"/>
    <w:bookmarkEnd w:id="141"/>
    <w:p>
      <w:pPr>
        <w:pStyle w:val="2"/>
        <w:spacing w:before="200" w:after="200" w:line="360" w:lineRule="auto"/>
        <w:jc w:val="both"/>
        <w:rPr>
          <w:rFonts w:hint="eastAsia" w:ascii="华文中宋" w:hAnsi="华文中宋" w:eastAsia="华文中宋"/>
        </w:rPr>
      </w:pPr>
      <w:bookmarkStart w:id="172" w:name="_Toc15377"/>
      <w:bookmarkStart w:id="173" w:name="_Toc2510"/>
    </w:p>
    <w:p>
      <w:pPr>
        <w:rPr>
          <w:rFonts w:hint="eastAsia" w:ascii="华文中宋" w:hAnsi="华文中宋" w:eastAsia="华文中宋"/>
        </w:rPr>
      </w:pPr>
      <w:r>
        <w:rPr>
          <w:rFonts w:hint="eastAsia" w:ascii="华文中宋" w:hAnsi="华文中宋" w:eastAsia="华文中宋"/>
        </w:rPr>
        <w:br w:type="page"/>
      </w:r>
    </w:p>
    <w:p>
      <w:pPr>
        <w:pStyle w:val="2"/>
        <w:spacing w:before="200" w:after="200" w:line="360" w:lineRule="auto"/>
        <w:jc w:val="center"/>
        <w:rPr>
          <w:rFonts w:ascii="华文中宋" w:hAnsi="华文中宋" w:eastAsia="华文中宋"/>
        </w:rPr>
      </w:pPr>
      <w:r>
        <w:rPr>
          <w:rFonts w:hint="eastAsia" w:ascii="华文中宋" w:hAnsi="华文中宋" w:eastAsia="华文中宋"/>
        </w:rPr>
        <w:t>第六章 附 件</w:t>
      </w:r>
      <w:bookmarkEnd w:id="172"/>
      <w:bookmarkEnd w:id="173"/>
    </w:p>
    <w:p>
      <w:pPr>
        <w:pStyle w:val="4"/>
      </w:pPr>
      <w:bookmarkStart w:id="174" w:name="_Toc515"/>
      <w:bookmarkStart w:id="175" w:name="_Toc24384"/>
      <w:r>
        <w:drawing>
          <wp:anchor distT="0" distB="0" distL="114300" distR="114300" simplePos="0" relativeHeight="251664384" behindDoc="0" locked="0" layoutInCell="1" allowOverlap="1">
            <wp:simplePos x="0" y="0"/>
            <wp:positionH relativeFrom="column">
              <wp:posOffset>-447675</wp:posOffset>
            </wp:positionH>
            <wp:positionV relativeFrom="paragraph">
              <wp:posOffset>546100</wp:posOffset>
            </wp:positionV>
            <wp:extent cx="6481445" cy="7597140"/>
            <wp:effectExtent l="0" t="0" r="14605" b="381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cstate="print"/>
                    <a:stretch>
                      <a:fillRect/>
                    </a:stretch>
                  </pic:blipFill>
                  <pic:spPr>
                    <a:xfrm>
                      <a:off x="0" y="0"/>
                      <a:ext cx="6481445" cy="7597140"/>
                    </a:xfrm>
                    <a:prstGeom prst="rect">
                      <a:avLst/>
                    </a:prstGeom>
                    <a:noFill/>
                    <a:ln>
                      <a:noFill/>
                    </a:ln>
                  </pic:spPr>
                </pic:pic>
              </a:graphicData>
            </a:graphic>
          </wp:anchor>
        </w:drawing>
      </w:r>
      <w:r>
        <w:rPr>
          <w:rFonts w:hint="eastAsia"/>
        </w:rPr>
        <w:t>附件1：【中小企业划型标准】</w:t>
      </w:r>
      <w:bookmarkEnd w:id="174"/>
      <w:bookmarkEnd w:id="175"/>
    </w:p>
    <w:p>
      <w:pPr>
        <w:pStyle w:val="3"/>
        <w:sectPr>
          <w:pgSz w:w="11907" w:h="16839"/>
          <w:pgMar w:top="1361" w:right="1644" w:bottom="1361" w:left="1644" w:header="737" w:footer="737" w:gutter="0"/>
          <w:cols w:space="720" w:num="1"/>
          <w:titlePg/>
          <w:docGrid w:linePitch="326" w:charSpace="0"/>
        </w:sectPr>
      </w:pPr>
    </w:p>
    <w:p>
      <w:pPr>
        <w:pStyle w:val="3"/>
      </w:pPr>
      <w:bookmarkStart w:id="176" w:name="_Toc17550"/>
      <w:bookmarkStart w:id="177" w:name="_Toc27911"/>
      <w:r>
        <w:rPr>
          <w:rFonts w:hint="eastAsia"/>
        </w:rPr>
        <w:t>附件2：【发票申请表】</w:t>
      </w:r>
      <w:bookmarkEnd w:id="176"/>
      <w:bookmarkEnd w:id="177"/>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申请人：</w:t>
      </w:r>
      <w:r>
        <w:rPr>
          <w:rFonts w:hint="eastAsia" w:hAnsi="宋体" w:cs="宋体"/>
          <w:sz w:val="24"/>
          <w:szCs w:val="24"/>
          <w:u w:val="single"/>
        </w:rPr>
        <w:t xml:space="preserve">            </w:t>
      </w:r>
      <w:r>
        <w:rPr>
          <w:rFonts w:hint="eastAsia" w:hAnsi="宋体" w:cs="宋体"/>
          <w:sz w:val="24"/>
          <w:szCs w:val="24"/>
        </w:rPr>
        <w:t xml:space="preserve">                申请日期：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rPr>
          <w:rFonts w:hAnsi="宋体" w:cs="宋体"/>
          <w:sz w:val="24"/>
          <w:szCs w:val="24"/>
        </w:rPr>
      </w:pPr>
      <w:r>
        <w:rPr>
          <w:rFonts w:hint="eastAsia" w:hAnsi="宋体" w:cs="宋体"/>
          <w:sz w:val="24"/>
          <w:szCs w:val="24"/>
        </w:rPr>
        <w:t>一、开票信息</w:t>
      </w:r>
    </w:p>
    <w:p>
      <w:pPr>
        <w:spacing w:line="360" w:lineRule="auto"/>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纳税人识别号：</w:t>
      </w:r>
      <w:r>
        <w:rPr>
          <w:rFonts w:hint="eastAsia" w:hAnsi="宋体" w:cs="宋体"/>
          <w:sz w:val="24"/>
          <w:szCs w:val="24"/>
          <w:u w:val="single"/>
        </w:rPr>
        <w:t xml:space="preserve">                   </w:t>
      </w:r>
    </w:p>
    <w:p>
      <w:pPr>
        <w:spacing w:line="360" w:lineRule="auto"/>
        <w:ind w:firstLine="480" w:firstLineChars="200"/>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开  户  行：</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开户行账号：</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rPr>
          <w:rFonts w:hAnsi="宋体" w:cs="宋体"/>
          <w:sz w:val="24"/>
          <w:szCs w:val="24"/>
        </w:rPr>
      </w:pPr>
      <w:r>
        <w:rPr>
          <w:rFonts w:hint="eastAsia" w:hAnsi="宋体" w:cs="宋体"/>
          <w:sz w:val="24"/>
          <w:szCs w:val="24"/>
        </w:rPr>
        <w:t>二、开票类型</w:t>
      </w:r>
    </w:p>
    <w:p>
      <w:pPr>
        <w:spacing w:line="360" w:lineRule="auto"/>
        <w:ind w:firstLine="480" w:firstLineChars="200"/>
        <w:rPr>
          <w:rFonts w:hAnsi="宋体" w:cs="宋体"/>
          <w:sz w:val="24"/>
          <w:szCs w:val="24"/>
        </w:rPr>
      </w:pPr>
      <w:r>
        <w:rPr>
          <w:rFonts w:hint="eastAsia" w:hAnsi="宋体" w:cs="宋体"/>
          <w:sz w:val="24"/>
          <w:szCs w:val="24"/>
        </w:rPr>
        <w:t>纸质版普通发票□、电子版普通发票□（万元版，如超过一万金额，需开多张）</w:t>
      </w:r>
    </w:p>
    <w:p>
      <w:pPr>
        <w:spacing w:line="360" w:lineRule="auto"/>
        <w:rPr>
          <w:rFonts w:hAnsi="宋体" w:cs="宋体"/>
          <w:sz w:val="24"/>
          <w:szCs w:val="24"/>
        </w:rPr>
      </w:pPr>
      <w:r>
        <w:rPr>
          <w:rFonts w:hint="eastAsia" w:hAnsi="宋体" w:cs="宋体"/>
          <w:sz w:val="24"/>
          <w:szCs w:val="24"/>
        </w:rPr>
        <w:t>三、开票内容及金额：</w:t>
      </w:r>
    </w:p>
    <w:p>
      <w:pPr>
        <w:spacing w:line="360" w:lineRule="auto"/>
        <w:ind w:firstLine="480" w:firstLineChars="200"/>
        <w:rPr>
          <w:rFonts w:hAnsi="宋体" w:cs="宋体"/>
          <w:sz w:val="24"/>
          <w:szCs w:val="24"/>
        </w:rPr>
      </w:pPr>
      <w:r>
        <w:rPr>
          <w:rFonts w:hint="eastAsia" w:hAnsi="宋体" w:cs="宋体"/>
          <w:sz w:val="24"/>
          <w:szCs w:val="24"/>
        </w:rPr>
        <w:t>标书费（</w:t>
      </w:r>
      <w:r>
        <w:rPr>
          <w:rFonts w:hint="eastAsia" w:hAnsi="宋体" w:cs="宋体"/>
          <w:sz w:val="24"/>
          <w:szCs w:val="24"/>
          <w:u w:val="single"/>
        </w:rPr>
        <w:t xml:space="preserve">          </w:t>
      </w:r>
      <w:r>
        <w:rPr>
          <w:rFonts w:hint="eastAsia" w:hAnsi="宋体" w:cs="宋体"/>
          <w:sz w:val="24"/>
          <w:szCs w:val="24"/>
        </w:rPr>
        <w:t>）元；代理费（</w:t>
      </w:r>
      <w:r>
        <w:rPr>
          <w:rFonts w:hint="eastAsia" w:hAnsi="宋体" w:cs="宋体"/>
          <w:sz w:val="24"/>
          <w:szCs w:val="24"/>
          <w:u w:val="single"/>
        </w:rPr>
        <w:t xml:space="preserve">          </w:t>
      </w:r>
      <w:r>
        <w:rPr>
          <w:rFonts w:hint="eastAsia" w:hAnsi="宋体" w:cs="宋体"/>
          <w:sz w:val="24"/>
          <w:szCs w:val="24"/>
        </w:rPr>
        <w:t>）元；收款方式：</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四、所属项目</w:t>
      </w:r>
    </w:p>
    <w:p>
      <w:pPr>
        <w:spacing w:line="360" w:lineRule="auto"/>
        <w:ind w:firstLine="480" w:firstLineChars="200"/>
        <w:rPr>
          <w:rFonts w:hAnsi="宋体" w:cs="宋体"/>
          <w:sz w:val="24"/>
          <w:szCs w:val="24"/>
        </w:rPr>
      </w:pPr>
      <w:r>
        <w:rPr>
          <w:rFonts w:hint="eastAsia" w:hAnsi="宋体" w:cs="宋体"/>
          <w:sz w:val="24"/>
          <w:szCs w:val="24"/>
        </w:rPr>
        <w:t>项目编号及名称：</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rPr>
          <w:rFonts w:hAnsi="宋体" w:cs="宋体"/>
          <w:sz w:val="24"/>
          <w:szCs w:val="24"/>
        </w:rPr>
      </w:pPr>
      <w:r>
        <w:rPr>
          <w:rFonts w:hint="eastAsia" w:hAnsi="宋体" w:cs="宋体"/>
          <w:sz w:val="24"/>
          <w:szCs w:val="24"/>
        </w:rPr>
        <w:t>五、递交方式</w:t>
      </w:r>
    </w:p>
    <w:p>
      <w:pPr>
        <w:spacing w:line="360" w:lineRule="auto"/>
        <w:rPr>
          <w:rFonts w:hAnsi="宋体" w:cs="宋体"/>
          <w:sz w:val="24"/>
          <w:szCs w:val="24"/>
        </w:rPr>
      </w:pPr>
      <w:r>
        <w:rPr>
          <w:rFonts w:hint="eastAsia" w:hAnsi="宋体" w:cs="宋体"/>
          <w:sz w:val="24"/>
          <w:szCs w:val="24"/>
        </w:rPr>
        <w:t>1、电子发票需要提供</w:t>
      </w:r>
    </w:p>
    <w:p>
      <w:pPr>
        <w:spacing w:line="360" w:lineRule="auto"/>
        <w:ind w:firstLine="480" w:firstLineChars="200"/>
        <w:rPr>
          <w:rFonts w:hAnsi="宋体" w:cs="宋体"/>
          <w:sz w:val="24"/>
          <w:szCs w:val="24"/>
        </w:rPr>
      </w:pPr>
      <w:r>
        <w:rPr>
          <w:rFonts w:hint="eastAsia" w:hAnsi="宋体" w:cs="宋体"/>
          <w:sz w:val="24"/>
          <w:szCs w:val="24"/>
        </w:rPr>
        <w:t>收件手机号：</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邮箱：</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2、纸质发票如需邮寄需提供</w:t>
      </w:r>
    </w:p>
    <w:p>
      <w:pPr>
        <w:spacing w:line="360" w:lineRule="auto"/>
        <w:ind w:firstLine="480" w:firstLineChars="200"/>
        <w:rPr>
          <w:rFonts w:hAnsi="宋体" w:cs="宋体"/>
          <w:sz w:val="24"/>
          <w:szCs w:val="24"/>
        </w:rPr>
      </w:pPr>
      <w:r>
        <w:rPr>
          <w:rFonts w:hint="eastAsia" w:hAnsi="宋体" w:cs="宋体"/>
          <w:sz w:val="24"/>
          <w:szCs w:val="24"/>
        </w:rPr>
        <w:t>收件人：</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pPr>
        <w:ind w:firstLine="480" w:firstLineChars="200"/>
        <w:rPr>
          <w:rFonts w:hAnsi="宋体" w:cs="宋体"/>
          <w:sz w:val="24"/>
          <w:szCs w:val="24"/>
        </w:rPr>
      </w:pPr>
    </w:p>
    <w:p>
      <w:pPr>
        <w:widowControl/>
        <w:adjustRightInd w:val="0"/>
        <w:snapToGrid w:val="0"/>
        <w:ind w:firstLine="480" w:firstLineChars="200"/>
        <w:jc w:val="left"/>
      </w:pPr>
      <w:r>
        <w:rPr>
          <w:rFonts w:hint="eastAsia" w:hAnsi="宋体" w:cs="宋体"/>
          <w:sz w:val="24"/>
          <w:szCs w:val="24"/>
        </w:rPr>
        <w:t>备注：</w:t>
      </w:r>
      <w:r>
        <w:rPr>
          <w:rStyle w:val="28"/>
          <w:rFonts w:hint="eastAsia" w:ascii="Times New Roman" w:hAnsi="宋体" w:cs="宋体"/>
          <w:color w:val="auto"/>
          <w:sz w:val="24"/>
          <w:szCs w:val="24"/>
          <w:u w:val="none"/>
        </w:rPr>
        <w:t>缴纳费用后请尽快将《开票申请表》发送至财务邮箱（liangchen@sczchtgcxmgly1.wecom.work），附件以Word文档格式发送。</w:t>
      </w:r>
      <w:r>
        <w:fldChar w:fldCharType="begin"/>
      </w:r>
      <w:r>
        <w:instrText xml:space="preserve"> HYPERLINK "mailto:缴纳费用后请尽快将《开票申请表》发送至财务邮箱（zmhtcaiwubu@cdzmhtzbdlyxg1.wecom.work）。开票信息务必确认准确。缴纳费用后30日为开票有效期，逾期不再补开发票，所造成的后果自负。" </w:instrText>
      </w:r>
      <w:r>
        <w:fldChar w:fldCharType="separate"/>
      </w:r>
      <w:r>
        <w:rPr>
          <w:rStyle w:val="28"/>
          <w:rFonts w:hint="eastAsia" w:hAnsi="宋体" w:cs="宋体"/>
          <w:color w:val="auto"/>
          <w:sz w:val="24"/>
          <w:szCs w:val="24"/>
          <w:u w:val="none"/>
        </w:rPr>
        <w:t>开票信息务必确认准确。缴纳费用后30日为开票有效期，逾期不再补开发票，所造成的后果自负。</w:t>
      </w:r>
      <w:r>
        <w:rPr>
          <w:rStyle w:val="28"/>
          <w:rFonts w:hint="eastAsia" w:hAnsi="宋体" w:cs="宋体"/>
          <w:color w:val="auto"/>
          <w:sz w:val="24"/>
          <w:szCs w:val="24"/>
          <w:u w:val="none"/>
        </w:rPr>
        <w:fldChar w:fldCharType="end"/>
      </w:r>
      <w:r>
        <w:rPr>
          <w:rFonts w:hint="eastAsia" w:hAnsi="宋体" w:cs="宋体"/>
          <w:sz w:val="24"/>
          <w:szCs w:val="24"/>
        </w:rPr>
        <w:t>联系方式：梁女士、0835-2887268。</w:t>
      </w:r>
    </w:p>
    <w:p>
      <w:pPr>
        <w:pStyle w:val="2"/>
        <w:spacing w:line="360" w:lineRule="auto"/>
      </w:pPr>
    </w:p>
    <w:sectPr>
      <w:pgSz w:w="11907" w:h="16839"/>
      <w:pgMar w:top="1361" w:right="1644" w:bottom="1361" w:left="1644" w:header="737" w:footer="73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4BF821-0F00-430E-9E71-34BBD7299B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73374B-E8E1-4F54-B352-EE7070CAF98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D0D02F1-2220-4494-97DC-E4F25165D2FF}"/>
  </w:font>
  <w:font w:name="宋体;SimSun">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embedRegular r:id="rId4" w:fontKey="{34B92737-2D53-4AD8-A3F2-60F9D24B71B5}"/>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C91BBFF6-1F49-4C0C-BCD2-9244CD699C04}"/>
  </w:font>
  <w:font w:name="方正仿宋_GBK">
    <w:altName w:val="微软雅黑"/>
    <w:panose1 w:val="00000000000000000000"/>
    <w:charset w:val="86"/>
    <w:family w:val="script"/>
    <w:pitch w:val="default"/>
    <w:sig w:usb0="00000000" w:usb1="00000000" w:usb2="00082016" w:usb3="00000000" w:csb0="00040001" w:csb1="00000000"/>
    <w:embedRegular r:id="rId6" w:fontKey="{7EB31CBE-6775-4330-819B-50C309C804F7}"/>
  </w:font>
  <w:font w:name="华文中宋">
    <w:panose1 w:val="02010600040101010101"/>
    <w:charset w:val="86"/>
    <w:family w:val="auto"/>
    <w:pitch w:val="default"/>
    <w:sig w:usb0="00000287" w:usb1="080F0000" w:usb2="00000000" w:usb3="00000000" w:csb0="0004009F" w:csb1="DFD70000"/>
    <w:embedRegular r:id="rId7" w:fontKey="{3DA5924E-BB89-4300-81C8-47B15018A616}"/>
  </w:font>
  <w:font w:name="仿宋">
    <w:panose1 w:val="02010609060101010101"/>
    <w:charset w:val="86"/>
    <w:family w:val="modern"/>
    <w:pitch w:val="default"/>
    <w:sig w:usb0="800002BF" w:usb1="38CF7CFA" w:usb2="00000016" w:usb3="00000000" w:csb0="00040001" w:csb1="00000000"/>
    <w:embedRegular r:id="rId8" w:fontKey="{22BB1A6D-8EBD-4BB1-9A11-7F9A5B4595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FD21D"/>
    <w:multiLevelType w:val="singleLevel"/>
    <w:tmpl w:val="B1AFD21D"/>
    <w:lvl w:ilvl="0" w:tentative="0">
      <w:start w:val="1"/>
      <w:numFmt w:val="chineseCounting"/>
      <w:suff w:val="nothing"/>
      <w:lvlText w:val="%1、"/>
      <w:lvlJc w:val="left"/>
      <w:rPr>
        <w:rFonts w:hint="eastAsia"/>
      </w:rPr>
    </w:lvl>
  </w:abstractNum>
  <w:abstractNum w:abstractNumId="1">
    <w:nsid w:val="0BED9334"/>
    <w:multiLevelType w:val="singleLevel"/>
    <w:tmpl w:val="0BED9334"/>
    <w:lvl w:ilvl="0" w:tentative="0">
      <w:start w:val="3"/>
      <w:numFmt w:val="decimal"/>
      <w:suff w:val="nothing"/>
      <w:lvlText w:val="%1、"/>
      <w:lvlJc w:val="left"/>
    </w:lvl>
  </w:abstractNum>
  <w:abstractNum w:abstractNumId="2">
    <w:nsid w:val="0ED822E7"/>
    <w:multiLevelType w:val="multilevel"/>
    <w:tmpl w:val="0ED822E7"/>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k1MTY3YzNiYmI1ZWIyNzE5NzVmZDk4ZjEzOTQifQ=="/>
  </w:docVars>
  <w:rsids>
    <w:rsidRoot w:val="00AB2B54"/>
    <w:rsid w:val="000065DE"/>
    <w:rsid w:val="005B5413"/>
    <w:rsid w:val="00AB2B54"/>
    <w:rsid w:val="02C878EF"/>
    <w:rsid w:val="05E735F8"/>
    <w:rsid w:val="060B746E"/>
    <w:rsid w:val="07B61CED"/>
    <w:rsid w:val="086E09EC"/>
    <w:rsid w:val="09844447"/>
    <w:rsid w:val="0C873F03"/>
    <w:rsid w:val="0CBB102F"/>
    <w:rsid w:val="116C02AB"/>
    <w:rsid w:val="1AAA721B"/>
    <w:rsid w:val="1BDC0CA4"/>
    <w:rsid w:val="1C3109C5"/>
    <w:rsid w:val="1DA20E22"/>
    <w:rsid w:val="1E012613"/>
    <w:rsid w:val="1E9D67E6"/>
    <w:rsid w:val="217F311B"/>
    <w:rsid w:val="22380DCC"/>
    <w:rsid w:val="227D53BE"/>
    <w:rsid w:val="23DC56BB"/>
    <w:rsid w:val="26576396"/>
    <w:rsid w:val="26F47FD7"/>
    <w:rsid w:val="26FF01A4"/>
    <w:rsid w:val="27D633B1"/>
    <w:rsid w:val="28BA5415"/>
    <w:rsid w:val="2D2F71A3"/>
    <w:rsid w:val="2DF33D2D"/>
    <w:rsid w:val="30313CFE"/>
    <w:rsid w:val="317F3A49"/>
    <w:rsid w:val="33FD3B57"/>
    <w:rsid w:val="34A039EB"/>
    <w:rsid w:val="354943DC"/>
    <w:rsid w:val="38F7508F"/>
    <w:rsid w:val="390C65EA"/>
    <w:rsid w:val="391F631E"/>
    <w:rsid w:val="39582982"/>
    <w:rsid w:val="39B12CEE"/>
    <w:rsid w:val="3A402444"/>
    <w:rsid w:val="3CD05C41"/>
    <w:rsid w:val="3EC26AAA"/>
    <w:rsid w:val="3F165247"/>
    <w:rsid w:val="401F61F9"/>
    <w:rsid w:val="403D10E8"/>
    <w:rsid w:val="419D337F"/>
    <w:rsid w:val="432A2168"/>
    <w:rsid w:val="43FB11FF"/>
    <w:rsid w:val="46E46BDB"/>
    <w:rsid w:val="4917527A"/>
    <w:rsid w:val="4BD35307"/>
    <w:rsid w:val="4C211F55"/>
    <w:rsid w:val="4CBE17A4"/>
    <w:rsid w:val="4D722E5D"/>
    <w:rsid w:val="4DAA4ED9"/>
    <w:rsid w:val="4DDC3E99"/>
    <w:rsid w:val="4F7B2B4A"/>
    <w:rsid w:val="52783EC2"/>
    <w:rsid w:val="55371F69"/>
    <w:rsid w:val="5562198E"/>
    <w:rsid w:val="55A3169E"/>
    <w:rsid w:val="562619C4"/>
    <w:rsid w:val="5FF615BD"/>
    <w:rsid w:val="60DA7423"/>
    <w:rsid w:val="611A7247"/>
    <w:rsid w:val="62BE0795"/>
    <w:rsid w:val="630B1ADB"/>
    <w:rsid w:val="63DC07E4"/>
    <w:rsid w:val="659C46CE"/>
    <w:rsid w:val="65E51824"/>
    <w:rsid w:val="669C00F7"/>
    <w:rsid w:val="68B40850"/>
    <w:rsid w:val="69E52C40"/>
    <w:rsid w:val="6A140AAF"/>
    <w:rsid w:val="6A51101C"/>
    <w:rsid w:val="6E033AA4"/>
    <w:rsid w:val="6ECC0F73"/>
    <w:rsid w:val="6FA84C02"/>
    <w:rsid w:val="70273DFF"/>
    <w:rsid w:val="71C31076"/>
    <w:rsid w:val="71EE6FCD"/>
    <w:rsid w:val="720751EB"/>
    <w:rsid w:val="733A0F3F"/>
    <w:rsid w:val="7417509B"/>
    <w:rsid w:val="7417530B"/>
    <w:rsid w:val="74AF0E3E"/>
    <w:rsid w:val="772D54BE"/>
    <w:rsid w:val="787E6113"/>
    <w:rsid w:val="798B075D"/>
    <w:rsid w:val="7C3D44D4"/>
    <w:rsid w:val="7DBA492A"/>
    <w:rsid w:val="7DF4591C"/>
    <w:rsid w:val="7E67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41"/>
    <w:unhideWhenUsed/>
    <w:qFormat/>
    <w:uiPriority w:val="99"/>
    <w:rPr>
      <w:rFonts w:ascii="宋体"/>
      <w:sz w:val="18"/>
      <w:szCs w:val="18"/>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styleId="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Body Text Indent"/>
    <w:basedOn w:val="1"/>
    <w:qFormat/>
    <w:uiPriority w:val="99"/>
    <w:pPr>
      <w:ind w:firstLine="630"/>
    </w:pPr>
    <w:rPr>
      <w:kern w:val="0"/>
      <w:sz w:val="32"/>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tabs>
        <w:tab w:val="right" w:leader="dot" w:pos="8680"/>
      </w:tabs>
      <w:ind w:left="706" w:leftChars="270" w:hanging="139" w:hangingChars="58"/>
    </w:p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560" w:lineRule="atLeast"/>
      <w:ind w:firstLine="693" w:firstLineChars="225"/>
    </w:pPr>
    <w:rPr>
      <w:rFonts w:hint="eastAsia" w:ascii="仿宋_GB2312"/>
      <w:szCs w:val="32"/>
    </w:rPr>
  </w:style>
  <w:style w:type="paragraph" w:styleId="15">
    <w:name w:val="Balloon Text"/>
    <w:basedOn w:val="1"/>
    <w:semiHidden/>
    <w:qFormat/>
    <w:uiPriority w:val="0"/>
    <w:rPr>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right" w:leader="dot" w:pos="8680"/>
      </w:tabs>
      <w:adjustRightInd w:val="0"/>
      <w:snapToGrid w:val="0"/>
      <w:spacing w:line="360" w:lineRule="auto"/>
      <w:jc w:val="center"/>
    </w:pPr>
  </w:style>
  <w:style w:type="paragraph" w:styleId="19">
    <w:name w:val="toc 4"/>
    <w:basedOn w:val="1"/>
    <w:next w:val="1"/>
    <w:unhideWhenUsed/>
    <w:qFormat/>
    <w:uiPriority w:val="39"/>
    <w:pPr>
      <w:tabs>
        <w:tab w:val="right" w:leader="dot" w:pos="8680"/>
      </w:tabs>
      <w:spacing w:line="360" w:lineRule="auto"/>
      <w:ind w:left="141" w:leftChars="67" w:firstLine="408" w:firstLineChars="170"/>
    </w:pPr>
  </w:style>
  <w:style w:type="paragraph" w:styleId="20">
    <w:name w:val="toc 2"/>
    <w:basedOn w:val="1"/>
    <w:next w:val="1"/>
    <w:unhideWhenUsed/>
    <w:qFormat/>
    <w:uiPriority w:val="39"/>
    <w:pPr>
      <w:ind w:left="420" w:leftChars="200"/>
    </w:pPr>
  </w:style>
  <w:style w:type="paragraph" w:styleId="21">
    <w:name w:val="annotation subject"/>
    <w:basedOn w:val="7"/>
    <w:next w:val="7"/>
    <w:semiHidden/>
    <w:qFormat/>
    <w:uiPriority w:val="0"/>
    <w:rPr>
      <w:b/>
      <w:bCs/>
    </w:rPr>
  </w:style>
  <w:style w:type="paragraph" w:styleId="22">
    <w:name w:val="Body Text First Indent"/>
    <w:basedOn w:val="8"/>
    <w:next w:val="23"/>
    <w:unhideWhenUsed/>
    <w:qFormat/>
    <w:uiPriority w:val="99"/>
    <w:pPr>
      <w:ind w:firstLine="420" w:firstLineChars="100"/>
    </w:pPr>
  </w:style>
  <w:style w:type="paragraph" w:styleId="23">
    <w:name w:val="Body Text First Indent 2"/>
    <w:basedOn w:val="10"/>
    <w:qFormat/>
    <w:uiPriority w:val="0"/>
    <w:pPr>
      <w:tabs>
        <w:tab w:val="left" w:pos="0"/>
        <w:tab w:val="left" w:pos="993"/>
        <w:tab w:val="left" w:pos="1134"/>
      </w:tabs>
      <w:ind w:firstLine="200" w:firstLineChars="20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semiHidden/>
    <w:qFormat/>
    <w:uiPriority w:val="0"/>
    <w:rPr>
      <w:sz w:val="21"/>
      <w:szCs w:val="21"/>
    </w:rPr>
  </w:style>
  <w:style w:type="paragraph" w:customStyle="1" w:styleId="30">
    <w:name w:val="正文2"/>
    <w:basedOn w:val="31"/>
    <w:next w:val="1"/>
    <w:qFormat/>
    <w:uiPriority w:val="0"/>
    <w:rPr>
      <w:rFonts w:ascii="Calibri" w:hAnsi="Calibri"/>
      <w:szCs w:val="21"/>
    </w:rPr>
  </w:style>
  <w:style w:type="paragraph" w:customStyle="1" w:styleId="31">
    <w:name w:val="正文1"/>
    <w:next w:val="30"/>
    <w:qFormat/>
    <w:uiPriority w:val="0"/>
    <w:pPr>
      <w:widowControl w:val="0"/>
      <w:jc w:val="both"/>
    </w:pPr>
    <w:rPr>
      <w:rFonts w:ascii="Times New Roman" w:hAnsi="Times New Roman" w:eastAsia="宋体;SimSun" w:cs="Calibri"/>
      <w:kern w:val="2"/>
      <w:sz w:val="21"/>
      <w:szCs w:val="24"/>
      <w:lang w:val="en-US" w:eastAsia="zh-CN" w:bidi="ar-SA"/>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页眉 Char"/>
    <w:link w:val="17"/>
    <w:qFormat/>
    <w:uiPriority w:val="99"/>
    <w:rPr>
      <w:sz w:val="18"/>
      <w:szCs w:val="18"/>
    </w:rPr>
  </w:style>
  <w:style w:type="character" w:customStyle="1" w:styleId="35">
    <w:name w:val="页脚 Char"/>
    <w:link w:val="16"/>
    <w:qFormat/>
    <w:uiPriority w:val="99"/>
    <w:rPr>
      <w:sz w:val="18"/>
      <w:szCs w:val="18"/>
    </w:rPr>
  </w:style>
  <w:style w:type="character" w:customStyle="1" w:styleId="36">
    <w:name w:val="标题 1 Char"/>
    <w:link w:val="2"/>
    <w:qFormat/>
    <w:uiPriority w:val="9"/>
    <w:rPr>
      <w:b/>
      <w:bCs/>
      <w:kern w:val="44"/>
      <w:sz w:val="44"/>
      <w:szCs w:val="44"/>
    </w:rPr>
  </w:style>
  <w:style w:type="paragraph" w:customStyle="1" w:styleId="37">
    <w:name w:val="列出段落1"/>
    <w:basedOn w:val="1"/>
    <w:qFormat/>
    <w:uiPriority w:val="34"/>
    <w:pPr>
      <w:ind w:firstLine="420" w:firstLineChars="200"/>
    </w:pPr>
  </w:style>
  <w:style w:type="character" w:customStyle="1" w:styleId="38">
    <w:name w:val="标题 2 Char"/>
    <w:link w:val="3"/>
    <w:qFormat/>
    <w:uiPriority w:val="9"/>
    <w:rPr>
      <w:rFonts w:ascii="Cambria" w:hAnsi="Cambria" w:eastAsia="宋体" w:cs="Times New Roman"/>
      <w:b/>
      <w:bCs/>
      <w:sz w:val="32"/>
      <w:szCs w:val="32"/>
    </w:rPr>
  </w:style>
  <w:style w:type="character" w:customStyle="1" w:styleId="39">
    <w:name w:val="标题 3 Char"/>
    <w:link w:val="4"/>
    <w:qFormat/>
    <w:uiPriority w:val="9"/>
    <w:rPr>
      <w:b/>
      <w:bCs/>
      <w:kern w:val="2"/>
      <w:sz w:val="32"/>
      <w:szCs w:val="32"/>
    </w:rPr>
  </w:style>
  <w:style w:type="character" w:customStyle="1" w:styleId="40">
    <w:name w:val="标题 4 Char"/>
    <w:link w:val="5"/>
    <w:qFormat/>
    <w:uiPriority w:val="9"/>
    <w:rPr>
      <w:rFonts w:ascii="Cambria" w:hAnsi="Cambria" w:eastAsia="宋体" w:cs="Times New Roman"/>
      <w:b/>
      <w:bCs/>
      <w:kern w:val="2"/>
      <w:sz w:val="28"/>
      <w:szCs w:val="28"/>
    </w:rPr>
  </w:style>
  <w:style w:type="character" w:customStyle="1" w:styleId="41">
    <w:name w:val="文档结构图 Char"/>
    <w:link w:val="6"/>
    <w:semiHidden/>
    <w:qFormat/>
    <w:uiPriority w:val="99"/>
    <w:rPr>
      <w:rFonts w:ascii="宋体"/>
      <w:kern w:val="2"/>
      <w:sz w:val="18"/>
      <w:szCs w:val="18"/>
    </w:rPr>
  </w:style>
  <w:style w:type="character" w:customStyle="1" w:styleId="42">
    <w:name w:val="NormalCharacter"/>
    <w:qFormat/>
    <w:uiPriority w:val="0"/>
  </w:style>
  <w:style w:type="paragraph" w:customStyle="1" w:styleId="43">
    <w:name w:val="样式 首行缩进:  2 字符"/>
    <w:basedOn w:val="1"/>
    <w:qFormat/>
    <w:uiPriority w:val="0"/>
    <w:pPr>
      <w:spacing w:line="400" w:lineRule="exact"/>
      <w:ind w:firstLine="200" w:firstLineChars="200"/>
    </w:pPr>
    <w:rPr>
      <w:rFonts w:cs="宋体"/>
      <w:sz w:val="24"/>
    </w:rPr>
  </w:style>
  <w:style w:type="paragraph" w:customStyle="1" w:styleId="44">
    <w:name w:val="null3"/>
    <w:qFormat/>
    <w:uiPriority w:val="0"/>
    <w:rPr>
      <w:rFonts w:hint="eastAsia" w:ascii="Calibri" w:hAnsi="Calibri" w:eastAsia="宋体" w:cs="Times New Roman"/>
      <w:lang w:val="en-US" w:eastAsia="zh-CN" w:bidi="ar-SA"/>
    </w:rPr>
  </w:style>
  <w:style w:type="paragraph" w:customStyle="1" w:styleId="45">
    <w:name w:val="正文格式"/>
    <w:qFormat/>
    <w:uiPriority w:val="0"/>
    <w:pPr>
      <w:spacing w:line="500" w:lineRule="exact"/>
      <w:ind w:firstLine="200" w:firstLineChars="200"/>
    </w:pPr>
    <w:rPr>
      <w:rFonts w:ascii="Times New Roman" w:hAnsi="Times New Roman" w:eastAsia="仿宋_GB2312" w:cs="Times New Roman"/>
      <w:kern w:val="2"/>
      <w:sz w:val="32"/>
      <w:szCs w:val="22"/>
      <w:lang w:val="en-US" w:eastAsia="zh-CN" w:bidi="ar-SA"/>
    </w:rPr>
  </w:style>
  <w:style w:type="paragraph" w:customStyle="1" w:styleId="4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47">
    <w:name w:val="二级标题 Char"/>
    <w:basedOn w:val="26"/>
    <w:link w:val="48"/>
    <w:qFormat/>
    <w:uiPriority w:val="0"/>
    <w:rPr>
      <w:rFonts w:ascii="楷体" w:hAnsi="楷体" w:eastAsia="楷体_GB2312" w:cs="宋体"/>
    </w:rPr>
  </w:style>
  <w:style w:type="paragraph" w:customStyle="1" w:styleId="48">
    <w:name w:val="二级标题"/>
    <w:basedOn w:val="1"/>
    <w:link w:val="47"/>
    <w:qFormat/>
    <w:uiPriority w:val="0"/>
    <w:pPr>
      <w:ind w:firstLine="632" w:firstLineChars="200"/>
    </w:pPr>
    <w:rPr>
      <w:rFonts w:ascii="楷体" w:hAnsi="楷体" w:eastAsia="楷体_GB2312" w:cs="宋体"/>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11174</Words>
  <Characters>11431</Characters>
  <Lines>116</Lines>
  <Paragraphs>32</Paragraphs>
  <TotalTime>0</TotalTime>
  <ScaleCrop>false</ScaleCrop>
  <LinksUpToDate>false</LinksUpToDate>
  <CharactersWithSpaces>12759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2023-12-14T07:47:00Z</dcterms:created>
  <dc:creator>Administrator</dc:creator>
  <cp:lastModifiedBy>风中的云</cp:lastModifiedBy>
  <cp:lastPrinted>2023-08-17T10:51:00Z</cp:lastPrinted>
  <dcterms:modified xsi:type="dcterms:W3CDTF">2025-02-11T09:04:41Z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9471F148E58A4D6EABF5C018608F1A8E_13</vt:lpwstr>
  </property>
  <property fmtid="{D5CDD505-2E9C-101B-9397-08002B2CF9AE}" pid="4" name="KSOTemplateDocerSaveRecord">
    <vt:lpwstr>eyJoZGlkIjoiOTkyYmFiOGI1YTk4M2UwYzRhNWMyODhkNDZjYTcyM2MiLCJ1c2VySWQiOiIyNjgxNDQ2NDgifQ==</vt:lpwstr>
  </property>
</Properties>
</file>